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single" w:sz="6" w:color="D1D5DB"/>
          <w:left w:val="single" w:sz="6" w:color="D1D5DB"/>
          <w:bottom w:val="single" w:sz="6" w:color="D1D5DB"/>
          <w:right w:val="single" w:sz="6" w:color="D1D5DB"/>
          <w:insideH w:val="nil"/>
          <w:insideV w:val="nil"/>
        </w:tblBorders>
      </w:tblPr>
      <w:tblGrid>
        <w:gridCol w:w="9071"/>
      </w:tblGrid>
      <w:tr>
        <w:tc>
          <w:tcPr>
            <w:tcW w:type="dxa" w:w="9072"/>
            <w:tcMar>
              <w:top w:w="320" w:type="dxa"/>
              <w:left w:w="360" w:type="dxa"/>
              <w:bottom w:w="320" w:type="dxa"/>
              <w:right w:w="360" w:type="dxa"/>
            </w:tcMar>
          </w:tcPr>
          <w:p>
            <w:pPr>
              <w:spacing w:after="280" w:line="276" w:lineRule="auto"/>
              <w:jc w:val="left"/>
            </w:pPr>
            <w:r/>
            <w:r>
              <w:rPr>
                <w:rFonts w:ascii="Calibri" w:hAnsi="Calibri"/>
                <w:color w:val="6B7280"/>
                <w:sz w:val="32"/>
              </w:rPr>
              <w:t>Company / Institution Name</w:t>
            </w:r>
          </w:p>
          <w:p>
            <w:pPr>
              <w:spacing w:after="120" w:line="276" w:lineRule="auto"/>
              <w:jc w:val="left"/>
            </w:pPr>
            <w:r>
              <w:rPr>
                <w:rFonts w:ascii="Calibri" w:hAnsi="Calibri"/>
                <w:b/>
                <w:color w:val="6B7280"/>
                <w:sz w:val="20"/>
                <w:spacing w:val="40"/>
              </w:rPr>
              <w:t>STANDARD OPERATING PROCEDURE No. POP-003</w:t>
            </w:r>
          </w:p>
          <w:p>
            <w:pPr>
              <w:spacing w:after="360" w:line="276" w:lineRule="auto"/>
              <w:jc w:val="left"/>
            </w:pPr>
            <w:r>
              <w:rPr>
                <w:rFonts w:ascii="Calibri" w:hAnsi="Calibri"/>
                <w:b/>
                <w:color w:val="1A1A1A"/>
                <w:sz w:val="44"/>
              </w:rPr>
              <w:t xml:space="preserve">Process: </w:t>
            </w:r>
            <w:r>
              <w:rPr>
                <w:rFonts w:ascii="Calibri" w:hAnsi="Calibri"/>
                <w:b/>
                <w:color w:val="1A1A1A"/>
                <w:sz w:val="44"/>
              </w:rPr>
              <w:t>Support Ticket Handling</w:t>
            </w:r>
          </w:p>
          <w:p>
            <w:pPr>
              <w:spacing w:after="80" w:line="276" w:lineRule="auto"/>
              <w:jc w:val="left"/>
            </w:pPr>
            <w:r>
              <w:rPr>
                <w:rFonts w:ascii="Calibri" w:hAnsi="Calibri"/>
                <w:b/>
                <w:color w:val="6B7280"/>
                <w:sz w:val="22"/>
              </w:rPr>
              <w:t xml:space="preserve">Document code: </w:t>
            </w:r>
            <w:r>
              <w:rPr>
                <w:rFonts w:ascii="Calibri" w:hAnsi="Calibri"/>
                <w:color w:val="1A1A1A"/>
                <w:sz w:val="22"/>
              </w:rPr>
              <w:t>POP-003</w:t>
            </w:r>
            <w:r>
              <w:rPr>
                <w:rFonts w:ascii="Calibri" w:hAnsi="Calibri"/>
                <w:color w:val="6B7280"/>
                <w:sz w:val="22"/>
              </w:rPr>
              <w:t xml:space="preserve">   ·   </w:t>
            </w:r>
            <w:r>
              <w:rPr>
                <w:rFonts w:ascii="Calibri" w:hAnsi="Calibri"/>
                <w:b/>
                <w:color w:val="6B7280"/>
                <w:sz w:val="22"/>
              </w:rPr>
              <w:t xml:space="preserve">Version: </w:t>
            </w:r>
            <w:r>
              <w:rPr>
                <w:rFonts w:ascii="Calibri" w:hAnsi="Calibri"/>
                <w:color w:val="1A1A1A"/>
                <w:sz w:val="22"/>
              </w:rPr>
              <w:t>1.0</w:t>
            </w:r>
          </w:p>
          <w:p>
            <w:pPr>
              <w:spacing w:after="80" w:line="276" w:lineRule="auto"/>
              <w:jc w:val="left"/>
            </w:pPr>
            <w:r>
              <w:rPr>
                <w:rFonts w:ascii="Calibri" w:hAnsi="Calibri"/>
                <w:b/>
                <w:color w:val="6B7280"/>
                <w:sz w:val="22"/>
              </w:rPr>
              <w:t xml:space="preserve">Issue date: </w:t>
            </w:r>
            <w:r>
              <w:rPr>
                <w:rFonts w:ascii="Calibri" w:hAnsi="Calibri"/>
                <w:color w:val="1A1A1A"/>
                <w:sz w:val="22"/>
              </w:rPr>
              <w:t>June 22, 2026</w:t>
            </w:r>
          </w:p>
          <w:p>
            <w:pPr>
              <w:spacing w:after="0" w:line="276" w:lineRule="auto"/>
              <w:jc w:val="left"/>
            </w:pPr>
            <w:r>
              <w:rPr>
                <w:rFonts w:ascii="Calibri" w:hAnsi="Calibri"/>
                <w:b/>
                <w:color w:val="6B7280"/>
                <w:sz w:val="22"/>
              </w:rPr>
              <w:t xml:space="preserve">Process owner: </w:t>
            </w:r>
            <w:r>
              <w:rPr>
                <w:rFonts w:ascii="Calibri" w:hAnsi="Calibri"/>
                <w:color w:val="1A1A1A"/>
                <w:sz w:val="22"/>
              </w:rPr>
              <w:t>—</w:t>
            </w:r>
          </w:p>
        </w:tc>
      </w:tr>
    </w:tbl>
    <w:p>
      <w:pPr>
        <w:spacing w:after="200"/>
      </w:pP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022"/>
        <w:gridCol w:w="3022"/>
        <w:gridCol w:w="3027"/>
      </w:tblGrid>
      <w:tr>
        <w:tc>
          <w:tcPr>
            <w:tcW w:type="dxa" w:w="302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Prepared by</w:t>
            </w:r>
          </w:p>
        </w:tc>
        <w:tc>
          <w:tcPr>
            <w:tcW w:type="dxa" w:w="302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Reviewed by</w:t>
            </w:r>
          </w:p>
        </w:tc>
        <w:tc>
          <w:tcPr>
            <w:tcW w:type="dxa" w:w="302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Approved by</w:t>
            </w:r>
          </w:p>
        </w:tc>
      </w:tr>
      <w:tr>
        <w:tc>
          <w:tcPr>
            <w:tcW w:type="dxa" w:w="3022"/>
            <w:vAlign w:val="center"/>
            <w:tcMar>
              <w:top w:w="80" w:type="dxa"/>
              <w:left w:w="140" w:type="dxa"/>
              <w:bottom w:w="80" w:type="dxa"/>
              <w:right w:w="140" w:type="dxa"/>
            </w:tcMar>
          </w:tcPr>
          <w:p>
            <w:pPr>
              <w:spacing w:before="60" w:after="60"/>
              <w:jc w:val="left"/>
            </w:pPr>
            <w:r/>
            <w:r>
              <w:rPr>
                <w:rFonts w:ascii="Calibri" w:hAnsi="Calibri"/>
                <w:sz w:val="22"/>
              </w:rPr>
              <w:t>________________</w:t>
              <w:br/>
              <w:t>Date: June 22, 2026</w:t>
            </w:r>
          </w:p>
        </w:tc>
        <w:tc>
          <w:tcPr>
            <w:tcW w:type="dxa" w:w="3022"/>
            <w:vAlign w:val="center"/>
            <w:tcMar>
              <w:top w:w="80" w:type="dxa"/>
              <w:left w:w="140" w:type="dxa"/>
              <w:bottom w:w="80" w:type="dxa"/>
              <w:right w:w="140" w:type="dxa"/>
            </w:tcMar>
          </w:tcPr>
          <w:p>
            <w:pPr>
              <w:spacing w:before="60" w:after="60"/>
              <w:jc w:val="left"/>
            </w:pPr>
            <w:r/>
            <w:r>
              <w:rPr>
                <w:rFonts w:ascii="Calibri" w:hAnsi="Calibri"/>
                <w:sz w:val="22"/>
              </w:rPr>
              <w:t>________________</w:t>
              <w:br/>
              <w:t>Date: ____/____/______</w:t>
            </w:r>
          </w:p>
        </w:tc>
        <w:tc>
          <w:tcPr>
            <w:tcW w:type="dxa" w:w="3027"/>
            <w:vAlign w:val="center"/>
            <w:tcMar>
              <w:top w:w="80" w:type="dxa"/>
              <w:left w:w="140" w:type="dxa"/>
              <w:bottom w:w="80" w:type="dxa"/>
              <w:right w:w="140" w:type="dxa"/>
            </w:tcMar>
          </w:tcPr>
          <w:p>
            <w:pPr>
              <w:spacing w:before="60" w:after="60"/>
              <w:jc w:val="left"/>
            </w:pPr>
            <w:r/>
            <w:r>
              <w:rPr>
                <w:rFonts w:ascii="Calibri" w:hAnsi="Calibri"/>
                <w:sz w:val="22"/>
              </w:rPr>
              <w:t>________________</w:t>
              <w:br/>
              <w:t>Date: ____/____/______</w:t>
            </w:r>
          </w:p>
        </w:tc>
      </w:tr>
    </w:tbl>
    <w:p>
      <w:pPr>
        <w:spacing w:after="120"/>
      </w:pPr>
    </w:p>
    <w:p>
      <w:pPr>
        <w:pStyle w:val="Heading1"/>
      </w:pPr>
      <w:r>
        <w:t>1. Objective</w:t>
      </w:r>
    </w:p>
    <w:p>
      <w:pPr>
        <w:spacing w:after="240"/>
      </w:pPr>
      <w:r>
        <w:t>Establish the procedure for handling customer support tickets, from the moment the customer opens a ticket in the support channel to its validated closure, including triage and classification by L1 Support, direct first-level resolution or escalation to L2 Support for root cause analysis and definitive fix, solution application and customer notification, and final customer validation confirming the issue is resolved.</w:t>
      </w:r>
    </w:p>
    <w:p>
      <w:pPr>
        <w:pStyle w:val="Heading1"/>
      </w:pPr>
      <w:r>
        <w:t>2. Responsibilities</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551"/>
        <w:gridCol w:w="6520"/>
      </w:tblGrid>
      <w:tr>
        <w:tc>
          <w:tcPr>
            <w:tcW w:type="dxa" w:w="255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Owner</w:t>
            </w:r>
          </w:p>
        </w:tc>
        <w:tc>
          <w:tcPr>
            <w:tcW w:type="dxa" w:w="6520"/>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Responsibility</w:t>
            </w:r>
          </w:p>
        </w:tc>
      </w:tr>
      <w:tr>
        <w:tc>
          <w:tcPr>
            <w:tcW w:type="dxa" w:w="2551"/>
            <w:vAlign w:val="center"/>
            <w:tcMar>
              <w:top w:w="80" w:type="dxa"/>
              <w:left w:w="140" w:type="dxa"/>
              <w:bottom w:w="80" w:type="dxa"/>
              <w:right w:w="140" w:type="dxa"/>
            </w:tcMar>
            <w:shd w:val="clear" w:color="auto" w:fill="F9FAFB"/>
          </w:tcPr>
          <w:p>
            <w:pPr>
              <w:spacing w:before="60" w:after="60"/>
              <w:jc w:val="left"/>
            </w:pPr>
            <w:r/>
            <w:r>
              <w:rPr>
                <w:rFonts w:ascii="Calibri" w:hAnsi="Calibri"/>
                <w:b/>
                <w:sz w:val="22"/>
              </w:rPr>
              <w:t>L1 Support</w:t>
            </w:r>
          </w:p>
        </w:tc>
        <w:tc>
          <w:tcPr>
            <w:tcW w:type="dxa" w:w="6520"/>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Receives and acknowledges every incoming ticket, performs triage by classifying its type and priority, and consults the knowledge base to identify a known resolution. When the issue is solvable at first contact, applies the solution directly and notifies the customer. When the ticket exceeds L1 scope, escalates to L2 with full context. After L2 delivers the fix, applies the solution in the ticket, documents the resolution, and communicates the outcome to the customer.</w:t>
            </w:r>
          </w:p>
        </w:tc>
      </w:tr>
      <w:tr>
        <w:tc>
          <w:tcPr>
            <w:tcW w:type="dxa" w:w="2551"/>
            <w:vAlign w:val="center"/>
            <w:tcMar>
              <w:top w:w="80" w:type="dxa"/>
              <w:left w:w="140" w:type="dxa"/>
              <w:bottom w:w="80" w:type="dxa"/>
              <w:right w:w="140" w:type="dxa"/>
            </w:tcMar>
          </w:tcPr>
          <w:p>
            <w:pPr>
              <w:spacing w:before="60" w:after="60"/>
              <w:jc w:val="left"/>
            </w:pPr>
            <w:r/>
            <w:r>
              <w:rPr>
                <w:rFonts w:ascii="Calibri" w:hAnsi="Calibri"/>
                <w:b/>
                <w:sz w:val="22"/>
              </w:rPr>
              <w:t>L2 Support</w:t>
            </w:r>
          </w:p>
        </w:tc>
        <w:tc>
          <w:tcPr>
            <w:tcW w:type="dxa" w:w="6520"/>
            <w:vAlign w:val="center"/>
            <w:tcMar>
              <w:top w:w="80" w:type="dxa"/>
              <w:left w:w="140" w:type="dxa"/>
              <w:bottom w:w="80" w:type="dxa"/>
              <w:right w:w="140" w:type="dxa"/>
            </w:tcMar>
          </w:tcPr>
          <w:p>
            <w:pPr>
              <w:spacing w:before="60" w:after="60"/>
              <w:jc w:val="left"/>
            </w:pPr>
            <w:r/>
            <w:r>
              <w:rPr>
                <w:rFonts w:ascii="Calibri" w:hAnsi="Calibri"/>
                <w:sz w:val="22"/>
              </w:rPr>
              <w:t>Receives escalated tickets from L1 Support, investigates the root cause by reviewing logs and reproducing the issue, and applies a definitive fix. Also re-engages whenever the customer reports that the issue persists after a previous resolution attempt.</w:t>
            </w:r>
          </w:p>
        </w:tc>
      </w:tr>
      <w:tr>
        <w:tc>
          <w:tcPr>
            <w:tcW w:type="dxa" w:w="2551"/>
            <w:vAlign w:val="center"/>
            <w:tcMar>
              <w:top w:w="80" w:type="dxa"/>
              <w:left w:w="140" w:type="dxa"/>
              <w:bottom w:w="80" w:type="dxa"/>
              <w:right w:w="140" w:type="dxa"/>
            </w:tcMar>
            <w:shd w:val="clear" w:color="auto" w:fill="F9FAFB"/>
          </w:tcPr>
          <w:p>
            <w:pPr>
              <w:spacing w:before="60" w:after="60"/>
              <w:jc w:val="left"/>
            </w:pPr>
            <w:r/>
            <w:r>
              <w:rPr>
                <w:rFonts w:ascii="Calibri" w:hAnsi="Calibri"/>
                <w:b/>
                <w:sz w:val="22"/>
              </w:rPr>
              <w:t>Customer</w:t>
            </w:r>
          </w:p>
        </w:tc>
        <w:tc>
          <w:tcPr>
            <w:tcW w:type="dxa" w:w="6520"/>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Opens the ticket in the support channel, triggering the process. After the solution is applied and communicated, tests the fix in the original scenario and confirms whether the issue is resolved or still persists.</w:t>
            </w:r>
          </w:p>
        </w:tc>
      </w:tr>
    </w:tbl>
    <w:p>
      <w:pPr>
        <w:spacing w:after="240"/>
      </w:pPr>
    </w:p>
    <w:p>
      <w:pPr>
        <w:pStyle w:val="Heading1"/>
      </w:pPr>
      <w:r>
        <w:t>3. Detailed Steps</w:t>
      </w:r>
    </w:p>
    <w:p>
      <w:pPr>
        <w:pStyle w:val="Heading2"/>
      </w:pPr>
      <w:r>
        <w:t>Step 1 — Triage and Ticket Classification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Register the ticket and send an acknowledgment to the customer.</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Record the ticket ID, opening timestamp, and customer contact details in the support system. Send an acknowledgment — automated or manual — confirming receipt and setting the customer's expectation for a first response within the timeframe defined by the unit.</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Classify the ticket type and assign a priority level.</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Apply the team's classification taxonomy (e.g., incident, service request, question) and determine priority based on the impact to the customer and business urgency. Record both the type and priority in the ticket before proceeding — unclassified tickets cannot be accurately tracked or escalated.</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3</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Search the knowledge base for a documented resolution.</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Use keywords extracted from the ticket description to query the knowledge base. If a confirmed, up-to-date resolution exists, L1 Support may proceed directly to resolution. If no match is found, or if the issue shows signs of deeper technical complexity, assess whether escalation to L2 is required.</w:t>
            </w:r>
          </w:p>
        </w:tc>
      </w:tr>
    </w:tbl>
    <w:p>
      <w:pPr>
        <w:spacing w:after="160"/>
      </w:pPr>
    </w:p>
    <w:p>
      <w:pPr>
        <w:pStyle w:val="Heading2"/>
      </w:pPr>
      <w:r>
        <w:t>Step 2 — Gateway: Resolved at first level?</w:t>
      </w:r>
    </w:p>
    <w:p>
      <w:pPr>
        <w:spacing w:after="120"/>
      </w:pPr>
      <w:r>
        <w:rPr>
          <w:b/>
          <w:color w:val="274E13"/>
        </w:rPr>
        <w:t xml:space="preserve">Decision: </w:t>
      </w:r>
      <w:r>
        <w:rPr>
          <w:i/>
        </w:rPr>
        <w:t>Can L1 Support resolve the issue without escalation?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402"/>
        <w:gridCol w:w="5669"/>
      </w:tblGrid>
      <w:tr>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Result</w:t>
            </w:r>
          </w:p>
        </w:tc>
        <w:tc>
          <w:tcPr>
            <w:tcW w:type="dxa" w:w="5669"/>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Next Step</w:t>
            </w:r>
          </w:p>
        </w:tc>
      </w:tr>
      <w:tr>
        <w:tc>
          <w:tcPr>
            <w:tcW w:type="dxa" w:w="3402"/>
            <w:vAlign w:val="center"/>
            <w:tcMar>
              <w:top w:w="80" w:type="dxa"/>
              <w:left w:w="140" w:type="dxa"/>
              <w:bottom w:w="80" w:type="dxa"/>
              <w:right w:w="140" w:type="dxa"/>
            </w:tcMar>
            <w:shd w:val="clear" w:color="auto" w:fill="F9FAFB"/>
          </w:tcPr>
          <w:p>
            <w:pPr>
              <w:spacing w:before="40" w:after="40"/>
            </w:pPr>
            <w:r/>
            <w:r>
              <w:rPr>
                <w:b/>
                <w:color w:val="274E13"/>
                <w:sz w:val="22"/>
              </w:rPr>
              <w:t>YES</w:t>
            </w:r>
            <w:r>
              <w:rPr>
                <w:sz w:val="22"/>
              </w:rPr>
              <w:t xml:space="preserve"> — Known solution available at L1</w:t>
            </w:r>
          </w:p>
        </w:tc>
        <w:tc>
          <w:tcPr>
            <w:tcW w:type="dxa" w:w="5669"/>
            <w:vAlign w:val="center"/>
            <w:tcMar>
              <w:top w:w="80" w:type="dxa"/>
              <w:left w:w="140" w:type="dxa"/>
              <w:bottom w:w="80" w:type="dxa"/>
              <w:right w:w="140" w:type="dxa"/>
            </w:tcMar>
            <w:shd w:val="clear" w:color="auto" w:fill="F9FAFB"/>
          </w:tcPr>
          <w:p>
            <w:pPr>
              <w:spacing w:before="40" w:after="40"/>
            </w:pPr>
            <w:r/>
            <w:r>
              <w:rPr>
                <w:sz w:val="22"/>
              </w:rPr>
              <w:t>Proceed to Step 3A — Direct L1 Resolution, Step 1</w:t>
            </w:r>
          </w:p>
        </w:tc>
      </w:tr>
      <w:tr>
        <w:tc>
          <w:tcPr>
            <w:tcW w:type="dxa" w:w="3402"/>
            <w:vAlign w:val="center"/>
            <w:tcMar>
              <w:top w:w="80" w:type="dxa"/>
              <w:left w:w="140" w:type="dxa"/>
              <w:bottom w:w="80" w:type="dxa"/>
              <w:right w:w="140" w:type="dxa"/>
            </w:tcMar>
          </w:tcPr>
          <w:p>
            <w:pPr>
              <w:spacing w:before="40" w:after="40"/>
            </w:pPr>
            <w:r/>
            <w:r>
              <w:rPr>
                <w:b/>
                <w:color w:val="274E13"/>
                <w:sz w:val="22"/>
              </w:rPr>
              <w:t>NO</w:t>
            </w:r>
            <w:r>
              <w:rPr>
                <w:sz w:val="22"/>
              </w:rPr>
              <w:t xml:space="preserve"> — Requires L2 expertise</w:t>
            </w:r>
          </w:p>
        </w:tc>
        <w:tc>
          <w:tcPr>
            <w:tcW w:type="dxa" w:w="5669"/>
            <w:vAlign w:val="center"/>
            <w:tcMar>
              <w:top w:w="80" w:type="dxa"/>
              <w:left w:w="140" w:type="dxa"/>
              <w:bottom w:w="80" w:type="dxa"/>
              <w:right w:w="140" w:type="dxa"/>
            </w:tcMar>
          </w:tcPr>
          <w:p>
            <w:pPr>
              <w:spacing w:before="40" w:after="40"/>
            </w:pPr>
            <w:r/>
            <w:r>
              <w:rPr>
                <w:sz w:val="22"/>
              </w:rPr>
              <w:t>Proceed to Step 3B — L2 Escalation and Root Cause Fix, Step 1</w:t>
            </w:r>
          </w:p>
        </w:tc>
      </w:tr>
    </w:tbl>
    <w:p>
      <w:pPr>
        <w:spacing w:after="160"/>
      </w:pPr>
    </w:p>
    <w:p>
      <w:pPr>
        <w:pStyle w:val="Heading2"/>
      </w:pPr>
      <w:r>
        <w:t>Step 3A — Direct L1 Resolution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Apply the identified solution and update the ticket activity log.</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Implement the fix or validated workaround from the knowledge base. Document in the ticket the exact actions taken, any configuration changes made, and the observed outcome — this entry serves as the official resolution record and a future knowledge base contribution.</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Notify the customer of the resolution applied.</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Send a professional reply to the customer describing the resolution in clear, non-technical language appropriate to the audience; include any steps the customer must perform to confirm the fix (e.g., clearing cache, re-logging into the system). After this step, proceed to Step 4 — Customer Validation.</w:t>
            </w:r>
          </w:p>
        </w:tc>
      </w:tr>
    </w:tbl>
    <w:p>
      <w:pPr>
        <w:spacing w:after="160"/>
      </w:pPr>
    </w:p>
    <w:p>
      <w:pPr>
        <w:pStyle w:val="Heading2"/>
      </w:pPr>
      <w:r>
        <w:t>Step 3B — L2 Escalation and Root Cause Fix</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Escalate the ticket to L2 Support with full triage context.</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Transfer the ticket to L2 Support including the classification, assigned priority, problem description, and a complete record of all troubleshooting steps already attempted by L1 — omitting prior attempts forces L2 to repeat diagnostics and significantly extends resolution time.</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Investigate the root cause by reviewing logs and reproducing the issue.</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Examine system logs, error traces, and environment configuration data relevant to the reported failure. Reproduce the issue in an isolated or test environment when possible to confirm the root cause conclusively before implementing any fix — acting on a presumed cause without confirmation risks introducing additional instability.</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3</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Apply a definitive fix targeting the confirmed root cause.</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Implement the correction at the root level, not merely a symptomatic workaround. Document the technical details of the fix — including the files, configurations, or code components modified — directly in the ticket. After completing this step, hand off to L1 Support and proceed to Step 3A, Step 1, so the solution is formally applied, recorded, and communicated to the customer.</w:t>
            </w:r>
          </w:p>
        </w:tc>
      </w:tr>
    </w:tbl>
    <w:p>
      <w:pPr>
        <w:spacing w:after="160"/>
      </w:pPr>
    </w:p>
    <w:p>
      <w:pPr>
        <w:pStyle w:val="Heading2"/>
      </w:pPr>
      <w:r>
        <w:t>Step 4 — Customer Validation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Request the customer to test the fix and confirm the outcome.</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Notify the customer that the resolution has been applied and instruct them to reproduce the original failing scenario to verify the issue is fully resolved. Specify a response window for confirmation within the timeframe set by the unit; if no response is received within that window, follow up proactively before closing.</w:t>
            </w:r>
          </w:p>
        </w:tc>
      </w:tr>
    </w:tbl>
    <w:p>
      <w:pPr>
        <w:spacing w:after="160"/>
      </w:pPr>
    </w:p>
    <w:p>
      <w:pPr>
        <w:pStyle w:val="Heading2"/>
      </w:pPr>
      <w:r>
        <w:t>Step 5 — Gateway: Issue resolved?</w:t>
      </w:r>
    </w:p>
    <w:p>
      <w:pPr>
        <w:spacing w:after="120"/>
      </w:pPr>
      <w:r>
        <w:rPr>
          <w:b/>
          <w:color w:val="274E13"/>
        </w:rPr>
        <w:t xml:space="preserve">Decision: </w:t>
      </w:r>
      <w:r>
        <w:rPr>
          <w:i/>
        </w:rPr>
        <w:t>Has the customer confirmed that the issue is fully resolved?</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402"/>
        <w:gridCol w:w="5669"/>
      </w:tblGrid>
      <w:tr>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Result</w:t>
            </w:r>
          </w:p>
        </w:tc>
        <w:tc>
          <w:tcPr>
            <w:tcW w:type="dxa" w:w="5669"/>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Next Step</w:t>
            </w:r>
          </w:p>
        </w:tc>
      </w:tr>
      <w:tr>
        <w:tc>
          <w:tcPr>
            <w:tcW w:type="dxa" w:w="3402"/>
            <w:vAlign w:val="center"/>
            <w:tcMar>
              <w:top w:w="80" w:type="dxa"/>
              <w:left w:w="140" w:type="dxa"/>
              <w:bottom w:w="80" w:type="dxa"/>
              <w:right w:w="140" w:type="dxa"/>
            </w:tcMar>
            <w:shd w:val="clear" w:color="auto" w:fill="F9FAFB"/>
          </w:tcPr>
          <w:p>
            <w:pPr>
              <w:spacing w:before="40" w:after="40"/>
            </w:pPr>
            <w:r/>
            <w:r>
              <w:rPr>
                <w:b/>
                <w:color w:val="274E13"/>
                <w:sz w:val="22"/>
              </w:rPr>
              <w:t>YES</w:t>
            </w:r>
            <w:r>
              <w:rPr>
                <w:sz w:val="22"/>
              </w:rPr>
              <w:t xml:space="preserve"> — Issue confirmed resolved by customer</w:t>
            </w:r>
          </w:p>
        </w:tc>
        <w:tc>
          <w:tcPr>
            <w:tcW w:type="dxa" w:w="5669"/>
            <w:vAlign w:val="center"/>
            <w:tcMar>
              <w:top w:w="80" w:type="dxa"/>
              <w:left w:w="140" w:type="dxa"/>
              <w:bottom w:w="80" w:type="dxa"/>
              <w:right w:w="140" w:type="dxa"/>
            </w:tcMar>
            <w:shd w:val="clear" w:color="auto" w:fill="F9FAFB"/>
          </w:tcPr>
          <w:p>
            <w:pPr>
              <w:spacing w:before="40" w:after="40"/>
            </w:pPr>
            <w:r/>
            <w:r>
              <w:rPr>
                <w:sz w:val="22"/>
              </w:rPr>
              <w:t>Proceed to close the ticket — end of process</w:t>
            </w:r>
          </w:p>
        </w:tc>
      </w:tr>
      <w:tr>
        <w:tc>
          <w:tcPr>
            <w:tcW w:type="dxa" w:w="3402"/>
            <w:vAlign w:val="center"/>
            <w:tcMar>
              <w:top w:w="80" w:type="dxa"/>
              <w:left w:w="140" w:type="dxa"/>
              <w:bottom w:w="80" w:type="dxa"/>
              <w:right w:w="140" w:type="dxa"/>
            </w:tcMar>
          </w:tcPr>
          <w:p>
            <w:pPr>
              <w:spacing w:before="40" w:after="40"/>
            </w:pPr>
            <w:r/>
            <w:r>
              <w:rPr>
                <w:b/>
                <w:color w:val="274E13"/>
                <w:sz w:val="22"/>
              </w:rPr>
              <w:t>NO</w:t>
            </w:r>
            <w:r>
              <w:rPr>
                <w:sz w:val="22"/>
              </w:rPr>
              <w:t xml:space="preserve"> — Issue persists after fix attempt</w:t>
            </w:r>
          </w:p>
        </w:tc>
        <w:tc>
          <w:tcPr>
            <w:tcW w:type="dxa" w:w="5669"/>
            <w:vAlign w:val="center"/>
            <w:tcMar>
              <w:top w:w="80" w:type="dxa"/>
              <w:left w:w="140" w:type="dxa"/>
              <w:bottom w:w="80" w:type="dxa"/>
              <w:right w:w="140" w:type="dxa"/>
            </w:tcMar>
          </w:tcPr>
          <w:p>
            <w:pPr>
              <w:spacing w:before="40" w:after="40"/>
            </w:pPr>
            <w:r/>
            <w:r>
              <w:rPr>
                <w:sz w:val="22"/>
              </w:rPr>
              <w:t>Return to Step 3B — L2 Escalation and Root Cause Fix, Step 1, for renewed root cause investigation</w:t>
            </w:r>
          </w:p>
        </w:tc>
      </w:tr>
    </w:tbl>
    <w:p>
      <w:pPr>
        <w:spacing w:after="160"/>
      </w:pPr>
    </w:p>
    <w:p>
      <w:pPr>
        <w:pStyle w:val="Heading1"/>
      </w:pPr>
      <w:r>
        <w:t>4. Risk &amp; quality notes</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67"/>
        <w:gridCol w:w="8504"/>
      </w:tblGrid>
      <w:tr>
        <w:tc>
          <w:tcPr>
            <w:tcW w:type="dxa" w:w="56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r>
          </w:p>
        </w:tc>
        <w:tc>
          <w:tcPr>
            <w:tcW w:type="dxa" w:w="8504"/>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Risk / quality note</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This procedure applies ONLY to tickets opened through the designated support channel — requests received via informal channels (e.g., unlogged phone calls, direct messages) must be formally registered as tickets in the support system before this process begins.</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Triage classification (ticket type and priority) MUST be completed and saved in the support system before any resolution attempt is made — proceeding without a classification prevents accurate tracking, SLA measurement, and proper escalation routing.</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When escalating to L2 Support, L1 MUST include a full record of all troubleshooting steps already attempted — omitting this information forces L2 to repeat diagnostics, directly extending the customer's wait time and degrading service quality.</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L2 Support is responsible for applying a DEFINITIVE fix that addresses the root cause — delivering only a workaround without resolving the underlying issue is not acceptable unless explicitly approved as a documented temporary measure, pending a permanent solution.</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When the customer reports the issue persists (gateway 'Issue resolved?' — 'Persists' path), the ticket returns DIRECTLY to L2 Support for a renewed root cause investigation — L1 Support does not independently attempt an alternative resolution at this stage, as doing so risks compounding the problem without proper diagnostics.</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The ticket must remain open until the customer explicitly confirms resolution — premature closure before customer validation is completed forces the customer to open a new ticket, losing the full history of the case and negatively impacting quality metrics.</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The solution documentation recorded in the ticket at Step 3A MUST be detailed enough to be reviewed for knowledge base inclusion — undocumented or vague resolutions prevent the team from resolving similar issues at first contact in future interactions, perpetuating unnecessary escalations.</w:t>
            </w:r>
          </w:p>
        </w:tc>
      </w:tr>
    </w:tbl>
    <w:p>
      <w:pPr>
        <w:pStyle w:val="Heading1"/>
      </w:pPr>
      <w:r>
        <w:t>5. Revision history</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1247"/>
        <w:gridCol w:w="2041"/>
        <w:gridCol w:w="4082"/>
        <w:gridCol w:w="1701"/>
      </w:tblGrid>
      <w:tr>
        <w:tc>
          <w:tcPr>
            <w:tcW w:type="dxa" w:w="124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Version</w:t>
            </w:r>
          </w:p>
        </w:tc>
        <w:tc>
          <w:tcPr>
            <w:tcW w:type="dxa" w:w="204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Date</w:t>
            </w:r>
          </w:p>
        </w:tc>
        <w:tc>
          <w:tcPr>
            <w:tcW w:type="dxa" w:w="408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Change description</w:t>
            </w:r>
          </w:p>
        </w:tc>
        <w:tc>
          <w:tcPr>
            <w:tcW w:type="dxa" w:w="170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Owner</w:t>
            </w:r>
          </w:p>
        </w:tc>
      </w:tr>
      <w:tr>
        <w:tc>
          <w:tcPr>
            <w:tcW w:type="dxa" w:w="1247"/>
            <w:vAlign w:val="center"/>
            <w:tcMar>
              <w:top w:w="80" w:type="dxa"/>
              <w:left w:w="140" w:type="dxa"/>
              <w:bottom w:w="80" w:type="dxa"/>
              <w:right w:w="140" w:type="dxa"/>
            </w:tcMar>
            <w:shd w:val="clear" w:color="auto" w:fill="F9FAFB"/>
          </w:tcPr>
          <w:p>
            <w:pPr>
              <w:spacing w:before="60" w:after="60"/>
              <w:jc w:val="center"/>
            </w:pPr>
            <w:r/>
            <w:r>
              <w:rPr>
                <w:rFonts w:ascii="Calibri" w:hAnsi="Calibri"/>
                <w:sz w:val="22"/>
              </w:rPr>
              <w:t>1.0</w:t>
            </w:r>
          </w:p>
        </w:tc>
        <w:tc>
          <w:tcPr>
            <w:tcW w:type="dxa" w:w="204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June 22, 2026</w:t>
            </w:r>
          </w:p>
        </w:tc>
        <w:tc>
          <w:tcPr>
            <w:tcW w:type="dxa" w:w="408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Initial issue</w:t>
            </w:r>
          </w:p>
        </w:tc>
        <w:tc>
          <w:tcPr>
            <w:tcW w:type="dxa" w:w="170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w:t>
            </w:r>
          </w:p>
        </w:tc>
      </w:tr>
      <w:tr>
        <w:tc>
          <w:tcPr>
            <w:tcW w:type="dxa" w:w="1247"/>
            <w:vAlign w:val="center"/>
            <w:tcMar>
              <w:top w:w="80" w:type="dxa"/>
              <w:left w:w="140" w:type="dxa"/>
              <w:bottom w:w="80" w:type="dxa"/>
              <w:right w:w="140" w:type="dxa"/>
            </w:tcMar>
          </w:tcPr>
          <w:p>
            <w:pPr>
              <w:spacing w:before="60" w:after="60"/>
              <w:jc w:val="left"/>
            </w:pPr>
            <w:r/>
            <w:r>
              <w:rPr>
                <w:rFonts w:ascii="Calibri" w:hAnsi="Calibri"/>
                <w:sz w:val="22"/>
              </w:rPr>
            </w:r>
          </w:p>
        </w:tc>
        <w:tc>
          <w:tcPr>
            <w:tcW w:type="dxa" w:w="2041"/>
            <w:vAlign w:val="center"/>
            <w:tcMar>
              <w:top w:w="80" w:type="dxa"/>
              <w:left w:w="140" w:type="dxa"/>
              <w:bottom w:w="80" w:type="dxa"/>
              <w:right w:w="140" w:type="dxa"/>
            </w:tcMar>
          </w:tcPr>
          <w:p>
            <w:pPr>
              <w:spacing w:before="60" w:after="60"/>
              <w:jc w:val="left"/>
            </w:pPr>
            <w:r/>
            <w:r>
              <w:rPr>
                <w:rFonts w:ascii="Calibri" w:hAnsi="Calibri"/>
                <w:sz w:val="22"/>
              </w:rPr>
            </w:r>
          </w:p>
        </w:tc>
        <w:tc>
          <w:tcPr>
            <w:tcW w:type="dxa" w:w="4082"/>
            <w:vAlign w:val="center"/>
            <w:tcMar>
              <w:top w:w="80" w:type="dxa"/>
              <w:left w:w="140" w:type="dxa"/>
              <w:bottom w:w="80" w:type="dxa"/>
              <w:right w:w="140" w:type="dxa"/>
            </w:tcMar>
          </w:tcPr>
          <w:p>
            <w:pPr>
              <w:spacing w:before="60" w:after="60"/>
              <w:jc w:val="left"/>
            </w:pPr>
            <w:r/>
            <w:r>
              <w:rPr>
                <w:rFonts w:ascii="Calibri" w:hAnsi="Calibri"/>
                <w:sz w:val="22"/>
              </w:rPr>
            </w:r>
          </w:p>
        </w:tc>
        <w:tc>
          <w:tcPr>
            <w:tcW w:type="dxa" w:w="1701"/>
            <w:vAlign w:val="center"/>
            <w:tcMar>
              <w:top w:w="80" w:type="dxa"/>
              <w:left w:w="140" w:type="dxa"/>
              <w:bottom w:w="80" w:type="dxa"/>
              <w:right w:w="140" w:type="dxa"/>
            </w:tcMar>
          </w:tcPr>
          <w:p>
            <w:pPr>
              <w:spacing w:before="60" w:after="60"/>
              <w:jc w:val="left"/>
            </w:pPr>
            <w:r/>
            <w:r>
              <w:rPr>
                <w:rFonts w:ascii="Calibri" w:hAnsi="Calibri"/>
                <w:sz w:val="22"/>
              </w:rPr>
            </w:r>
          </w:p>
        </w:tc>
      </w:tr>
      <w:tr>
        <w:tc>
          <w:tcPr>
            <w:tcW w:type="dxa" w:w="1247"/>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204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408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170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r>
    </w:tbl>
    <w:p>
      <w:pPr>
        <w:spacing w:after="240"/>
      </w:pPr>
    </w:p>
    <w:sectPr w:rsidR="00FC693F" w:rsidRPr="0006063C" w:rsidSect="00034616">
      <w:headerReference w:type="default" r:id="rId9"/>
      <w:footerReference w:type="default" r:id="rId10"/>
      <w:pgSz w:w="12240" w:h="15840"/>
      <w:pgMar w:top="1728" w:right="1584" w:bottom="1440" w:left="1584" w:header="34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center"/>
    </w:pPr>
    <w:r>
      <w:rPr>
        <w:rFonts w:ascii="Calibri" w:hAnsi="Calibri"/>
        <w:color w:val="6B7280"/>
        <w:sz w:val="18"/>
      </w:rPr>
      <w:t xml:space="preserve">Page </w:t>
    </w:r>
    <w:r>
      <w:rPr>
        <w:rFonts w:ascii="Calibri" w:hAnsi="Calibri"/>
        <w:color w:val="6B7280"/>
        <w:sz w:val="18"/>
      </w:rPr>
      <w:fldChar w:fldCharType="begin"/>
      <w:instrText xml:space="preserve"> PAGE </w:instrText>
      <w:fldChar w:fldCharType="separate"/>
      <w:t>1</w:t>
      <w:fldChar w:fldCharType="end"/>
    </w:r>
    <w:r>
      <w:rPr>
        <w:rFonts w:ascii="Calibri" w:hAnsi="Calibri"/>
        <w:color w:val="6B7280"/>
        <w:sz w:val="18"/>
      </w:rPr>
      <w:t xml:space="preserve"> of </w:t>
    </w:r>
    <w:r>
      <w:rPr>
        <w:rFonts w:ascii="Calibri" w:hAnsi="Calibri"/>
        <w:color w:val="6B7280"/>
        <w:sz w:val="18"/>
      </w:rPr>
      <w:fldChar w:fldCharType="begin"/>
      <w:instrText xml:space="preserve"> NUMPAGES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6236"/>
      <w:gridCol w:w="2835"/>
    </w:tblGrid>
    <w:tr>
      <w:tc>
        <w:tcPr>
          <w:tcW w:type="dxa" w:w="4535"/>
          <w:vAlign w:val="bottom"/>
        </w:tcPr>
        <w:p>
          <w:pPr>
            <w:spacing w:after="0" w:before="0"/>
            <w:jc w:val="left"/>
          </w:pPr>
          <w:r/>
          <w:r>
            <w:rPr>
              <w:rFonts w:ascii="Calibri" w:hAnsi="Calibri"/>
              <w:color w:val="6B7280"/>
              <w:sz w:val="18"/>
            </w:rPr>
            <w:t>Support Ticket Handling</w:t>
          </w:r>
        </w:p>
      </w:tc>
      <w:tc>
        <w:tcPr>
          <w:tcW w:type="dxa" w:w="4535"/>
          <w:vAlign w:val="bottom"/>
        </w:tcPr>
        <w:p>
          <w:pPr>
            <w:spacing w:after="0" w:before="0"/>
            <w:jc w:val="right"/>
          </w:pPr>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jc w:val="both"/>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74E13"/>
      <w:sz w:val="30"/>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