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single" w:sz="6" w:color="D1D5DB"/>
          <w:left w:val="single" w:sz="6" w:color="D1D5DB"/>
          <w:bottom w:val="single" w:sz="6" w:color="D1D5DB"/>
          <w:right w:val="single" w:sz="6" w:color="D1D5DB"/>
          <w:insideH w:val="nil"/>
          <w:insideV w:val="nil"/>
        </w:tblBorders>
      </w:tblPr>
      <w:tblGrid>
        <w:gridCol w:w="9071"/>
      </w:tblGrid>
      <w:tr>
        <w:tc>
          <w:tcPr>
            <w:tcW w:type="dxa" w:w="9072"/>
            <w:tcMar>
              <w:top w:w="320" w:type="dxa"/>
              <w:left w:w="360" w:type="dxa"/>
              <w:bottom w:w="320" w:type="dxa"/>
              <w:right w:w="360" w:type="dxa"/>
            </w:tcMar>
          </w:tcPr>
          <w:p>
            <w:pPr>
              <w:spacing w:after="280" w:line="276" w:lineRule="auto"/>
              <w:jc w:val="left"/>
            </w:pPr>
            <w:r/>
            <w:r>
              <w:rPr>
                <w:rFonts w:ascii="Calibri" w:hAnsi="Calibri"/>
                <w:color w:val="6B7280"/>
                <w:sz w:val="32"/>
              </w:rPr>
              <w:t>Company / Institution Name</w:t>
            </w:r>
          </w:p>
          <w:p>
            <w:pPr>
              <w:spacing w:after="120" w:line="276" w:lineRule="auto"/>
              <w:jc w:val="left"/>
            </w:pPr>
            <w:r>
              <w:rPr>
                <w:rFonts w:ascii="Calibri" w:hAnsi="Calibri"/>
                <w:b/>
                <w:color w:val="6B7280"/>
                <w:sz w:val="20"/>
                <w:spacing w:val="40"/>
              </w:rPr>
              <w:t>STANDARD OPERATING PROCEDURE No. POP-001</w:t>
            </w:r>
          </w:p>
          <w:p>
            <w:pPr>
              <w:spacing w:after="360" w:line="276" w:lineRule="auto"/>
              <w:jc w:val="left"/>
            </w:pPr>
            <w:r>
              <w:rPr>
                <w:rFonts w:ascii="Calibri" w:hAnsi="Calibri"/>
                <w:b/>
                <w:color w:val="1A1A1A"/>
                <w:sz w:val="44"/>
              </w:rPr>
              <w:t xml:space="preserve">Process: </w:t>
            </w:r>
            <w:r>
              <w:rPr>
                <w:rFonts w:ascii="Calibri" w:hAnsi="Calibri"/>
                <w:b/>
                <w:color w:val="1A1A1A"/>
                <w:sz w:val="44"/>
              </w:rPr>
              <w:t>Customer Onboarding</w:t>
            </w:r>
          </w:p>
          <w:p>
            <w:pPr>
              <w:spacing w:after="80" w:line="276" w:lineRule="auto"/>
              <w:jc w:val="left"/>
            </w:pPr>
            <w:r>
              <w:rPr>
                <w:rFonts w:ascii="Calibri" w:hAnsi="Calibri"/>
                <w:b/>
                <w:color w:val="6B7280"/>
                <w:sz w:val="22"/>
              </w:rPr>
              <w:t xml:space="preserve">Document code: </w:t>
            </w:r>
            <w:r>
              <w:rPr>
                <w:rFonts w:ascii="Calibri" w:hAnsi="Calibri"/>
                <w:color w:val="1A1A1A"/>
                <w:sz w:val="22"/>
              </w:rPr>
              <w:t>POP-001</w:t>
            </w:r>
            <w:r>
              <w:rPr>
                <w:rFonts w:ascii="Calibri" w:hAnsi="Calibri"/>
                <w:color w:val="6B7280"/>
                <w:sz w:val="22"/>
              </w:rPr>
              <w:t xml:space="preserve">   ·   </w:t>
            </w:r>
            <w:r>
              <w:rPr>
                <w:rFonts w:ascii="Calibri" w:hAnsi="Calibri"/>
                <w:b/>
                <w:color w:val="6B7280"/>
                <w:sz w:val="22"/>
              </w:rPr>
              <w:t xml:space="preserve">Version: </w:t>
            </w:r>
            <w:r>
              <w:rPr>
                <w:rFonts w:ascii="Calibri" w:hAnsi="Calibri"/>
                <w:color w:val="1A1A1A"/>
                <w:sz w:val="22"/>
              </w:rPr>
              <w:t>1.0</w:t>
            </w:r>
          </w:p>
          <w:p>
            <w:pPr>
              <w:spacing w:after="80" w:line="276" w:lineRule="auto"/>
              <w:jc w:val="left"/>
            </w:pPr>
            <w:r>
              <w:rPr>
                <w:rFonts w:ascii="Calibri" w:hAnsi="Calibri"/>
                <w:b/>
                <w:color w:val="6B7280"/>
                <w:sz w:val="22"/>
              </w:rPr>
              <w:t xml:space="preserve">Issue date: </w:t>
            </w:r>
            <w:r>
              <w:rPr>
                <w:rFonts w:ascii="Calibri" w:hAnsi="Calibri"/>
                <w:color w:val="1A1A1A"/>
                <w:sz w:val="22"/>
              </w:rPr>
              <w:t>June 22, 2026</w:t>
            </w:r>
          </w:p>
          <w:p>
            <w:pPr>
              <w:spacing w:after="0" w:line="276" w:lineRule="auto"/>
              <w:jc w:val="left"/>
            </w:pPr>
            <w:r>
              <w:rPr>
                <w:rFonts w:ascii="Calibri" w:hAnsi="Calibri"/>
                <w:b/>
                <w:color w:val="6B7280"/>
                <w:sz w:val="22"/>
              </w:rPr>
              <w:t xml:space="preserve">Process owner: </w:t>
            </w:r>
            <w:r>
              <w:rPr>
                <w:rFonts w:ascii="Calibri" w:hAnsi="Calibri"/>
                <w:color w:val="1A1A1A"/>
                <w:sz w:val="22"/>
              </w:rPr>
              <w:t>—</w:t>
            </w:r>
          </w:p>
        </w:tc>
      </w:tr>
    </w:tbl>
    <w:p>
      <w:pPr>
        <w:spacing w:after="200"/>
      </w:pP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3022"/>
        <w:gridCol w:w="3022"/>
        <w:gridCol w:w="3027"/>
      </w:tblGrid>
      <w:tr>
        <w:tc>
          <w:tcPr>
            <w:tcW w:type="dxa" w:w="302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Prepared by</w:t>
            </w:r>
          </w:p>
        </w:tc>
        <w:tc>
          <w:tcPr>
            <w:tcW w:type="dxa" w:w="302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Reviewed by</w:t>
            </w:r>
          </w:p>
        </w:tc>
        <w:tc>
          <w:tcPr>
            <w:tcW w:type="dxa" w:w="302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Approved by</w:t>
            </w:r>
          </w:p>
        </w:tc>
      </w:tr>
      <w:tr>
        <w:tc>
          <w:tcPr>
            <w:tcW w:type="dxa" w:w="3022"/>
            <w:vAlign w:val="center"/>
            <w:tcMar>
              <w:top w:w="80" w:type="dxa"/>
              <w:left w:w="140" w:type="dxa"/>
              <w:bottom w:w="80" w:type="dxa"/>
              <w:right w:w="140" w:type="dxa"/>
            </w:tcMar>
          </w:tcPr>
          <w:p>
            <w:pPr>
              <w:spacing w:before="60" w:after="60"/>
              <w:jc w:val="left"/>
            </w:pPr>
            <w:r/>
            <w:r>
              <w:rPr>
                <w:rFonts w:ascii="Calibri" w:hAnsi="Calibri"/>
                <w:sz w:val="22"/>
              </w:rPr>
              <w:t>________________</w:t>
              <w:br/>
              <w:t>Date: June 22, 2026</w:t>
            </w:r>
          </w:p>
        </w:tc>
        <w:tc>
          <w:tcPr>
            <w:tcW w:type="dxa" w:w="3022"/>
            <w:vAlign w:val="center"/>
            <w:tcMar>
              <w:top w:w="80" w:type="dxa"/>
              <w:left w:w="140" w:type="dxa"/>
              <w:bottom w:w="80" w:type="dxa"/>
              <w:right w:w="140" w:type="dxa"/>
            </w:tcMar>
          </w:tcPr>
          <w:p>
            <w:pPr>
              <w:spacing w:before="60" w:after="60"/>
              <w:jc w:val="left"/>
            </w:pPr>
            <w:r/>
            <w:r>
              <w:rPr>
                <w:rFonts w:ascii="Calibri" w:hAnsi="Calibri"/>
                <w:sz w:val="22"/>
              </w:rPr>
              <w:t>________________</w:t>
              <w:br/>
              <w:t>Date: ____/____/______</w:t>
            </w:r>
          </w:p>
        </w:tc>
        <w:tc>
          <w:tcPr>
            <w:tcW w:type="dxa" w:w="3027"/>
            <w:vAlign w:val="center"/>
            <w:tcMar>
              <w:top w:w="80" w:type="dxa"/>
              <w:left w:w="140" w:type="dxa"/>
              <w:bottom w:w="80" w:type="dxa"/>
              <w:right w:w="140" w:type="dxa"/>
            </w:tcMar>
          </w:tcPr>
          <w:p>
            <w:pPr>
              <w:spacing w:before="60" w:after="60"/>
              <w:jc w:val="left"/>
            </w:pPr>
            <w:r/>
            <w:r>
              <w:rPr>
                <w:rFonts w:ascii="Calibri" w:hAnsi="Calibri"/>
                <w:sz w:val="22"/>
              </w:rPr>
              <w:t>________________</w:t>
              <w:br/>
              <w:t>Date: ____/____/______</w:t>
            </w:r>
          </w:p>
        </w:tc>
      </w:tr>
    </w:tbl>
    <w:p>
      <w:pPr>
        <w:spacing w:after="120"/>
      </w:pPr>
    </w:p>
    <w:p>
      <w:pPr>
        <w:pStyle w:val="Heading1"/>
      </w:pPr>
      <w:r>
        <w:t>1. Objective</w:t>
      </w:r>
    </w:p>
    <w:p>
      <w:pPr>
        <w:spacing w:after="240"/>
      </w:pPr>
      <w:r>
        <w:t>Establish the procedure for onboarding new customers, from the moment the contract is signed to the customer operating independently, including the internal sales handoff, kickoff meeting, data and access collection, environment configuration, user training, readiness assessment, and go-live formalization.</w:t>
      </w:r>
    </w:p>
    <w:p>
      <w:pPr>
        <w:pStyle w:val="Heading1"/>
      </w:pPr>
      <w:r>
        <w:t>2. Responsibilities</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2551"/>
        <w:gridCol w:w="6520"/>
      </w:tblGrid>
      <w:tr>
        <w:tc>
          <w:tcPr>
            <w:tcW w:type="dxa" w:w="2551"/>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Owner</w:t>
            </w:r>
          </w:p>
        </w:tc>
        <w:tc>
          <w:tcPr>
            <w:tcW w:type="dxa" w:w="6520"/>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Responsibility</w:t>
            </w:r>
          </w:p>
        </w:tc>
      </w:tr>
      <w:tr>
        <w:tc>
          <w:tcPr>
            <w:tcW w:type="dxa" w:w="2551"/>
            <w:vAlign w:val="center"/>
            <w:tcMar>
              <w:top w:w="80" w:type="dxa"/>
              <w:left w:w="140" w:type="dxa"/>
              <w:bottom w:w="80" w:type="dxa"/>
              <w:right w:w="140" w:type="dxa"/>
            </w:tcMar>
            <w:shd w:val="clear" w:color="auto" w:fill="F9FAFB"/>
          </w:tcPr>
          <w:p>
            <w:pPr>
              <w:spacing w:before="60" w:after="60"/>
              <w:jc w:val="left"/>
            </w:pPr>
            <w:r/>
            <w:r>
              <w:rPr>
                <w:rFonts w:ascii="Calibri" w:hAnsi="Calibri"/>
                <w:b/>
                <w:sz w:val="22"/>
              </w:rPr>
              <w:t>Sales</w:t>
            </w:r>
          </w:p>
        </w:tc>
        <w:tc>
          <w:tcPr>
            <w:tcW w:type="dxa" w:w="6520"/>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Triggers the onboarding process upon contract signature. Registers the closed deal in the CRM with full context from the negotiation — including key contacts, identified pain points, committed deliverables and any special conditions agreed during the sale — and formally opens the onboarding project, handing it off to the Customer Success team with all information needed for a smooth implementation start.</w:t>
            </w:r>
          </w:p>
        </w:tc>
      </w:tr>
      <w:tr>
        <w:tc>
          <w:tcPr>
            <w:tcW w:type="dxa" w:w="2551"/>
            <w:vAlign w:val="center"/>
            <w:tcMar>
              <w:top w:w="80" w:type="dxa"/>
              <w:left w:w="140" w:type="dxa"/>
              <w:bottom w:w="80" w:type="dxa"/>
              <w:right w:w="140" w:type="dxa"/>
            </w:tcMar>
          </w:tcPr>
          <w:p>
            <w:pPr>
              <w:spacing w:before="60" w:after="60"/>
              <w:jc w:val="left"/>
            </w:pPr>
            <w:r/>
            <w:r>
              <w:rPr>
                <w:rFonts w:ascii="Calibri" w:hAnsi="Calibri"/>
                <w:b/>
                <w:sz w:val="22"/>
              </w:rPr>
              <w:t>Customer Success</w:t>
            </w:r>
          </w:p>
        </w:tc>
        <w:tc>
          <w:tcPr>
            <w:tcW w:type="dxa" w:w="6520"/>
            <w:vAlign w:val="center"/>
            <w:tcMar>
              <w:top w:w="80" w:type="dxa"/>
              <w:left w:w="140" w:type="dxa"/>
              <w:bottom w:w="80" w:type="dxa"/>
              <w:right w:w="140" w:type="dxa"/>
            </w:tcMar>
          </w:tcPr>
          <w:p>
            <w:pPr>
              <w:spacing w:before="60" w:after="60"/>
              <w:jc w:val="left"/>
            </w:pPr>
            <w:r/>
            <w:r>
              <w:rPr>
                <w:rFonts w:ascii="Calibri" w:hAnsi="Calibri"/>
                <w:sz w:val="22"/>
              </w:rPr>
              <w:t>Owns the end-to-end onboarding execution from receipt of the handoff to go-live formalization. Schedules and leads the kickoff meeting, oversees data and access collection, configures the environment, trains the customer's key users, assesses readiness to operate, delivers reinforcement training when needed, and formally records the go-live date and activation status to close the onboarding cycle.</w:t>
            </w:r>
          </w:p>
        </w:tc>
      </w:tr>
      <w:tr>
        <w:tc>
          <w:tcPr>
            <w:tcW w:type="dxa" w:w="2551"/>
            <w:vAlign w:val="center"/>
            <w:tcMar>
              <w:top w:w="80" w:type="dxa"/>
              <w:left w:w="140" w:type="dxa"/>
              <w:bottom w:w="80" w:type="dxa"/>
              <w:right w:w="140" w:type="dxa"/>
            </w:tcMar>
            <w:shd w:val="clear" w:color="auto" w:fill="F9FAFB"/>
          </w:tcPr>
          <w:p>
            <w:pPr>
              <w:spacing w:before="60" w:after="60"/>
              <w:jc w:val="left"/>
            </w:pPr>
            <w:r/>
            <w:r>
              <w:rPr>
                <w:rFonts w:ascii="Calibri" w:hAnsi="Calibri"/>
                <w:b/>
                <w:sz w:val="22"/>
              </w:rPr>
              <w:t>Customer</w:t>
            </w:r>
          </w:p>
        </w:tc>
        <w:tc>
          <w:tcPr>
            <w:tcW w:type="dxa" w:w="6520"/>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Provides all required data, system credentials and access permissions within the agreed timeframe, attends the kickoff meeting and training sessions, and validates readiness to operate at go-live.</w:t>
            </w:r>
          </w:p>
        </w:tc>
      </w:tr>
    </w:tbl>
    <w:p>
      <w:pPr>
        <w:spacing w:after="240"/>
      </w:pPr>
    </w:p>
    <w:p>
      <w:pPr>
        <w:pStyle w:val="Heading1"/>
      </w:pPr>
      <w:r>
        <w:t>3. Detailed Steps</w:t>
      </w:r>
    </w:p>
    <w:p>
      <w:pPr>
        <w:pStyle w:val="Heading2"/>
      </w:pPr>
      <w:r>
        <w:t>Step 1 — Sales Handoff and Onboarding Registration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Register the closed deal in the CRM with the full context from the negotiation.</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Include the key customer contacts, identified business pain points, committed deliverables, agreed timeline and any special conditions negotiated during the sale. Accurate context at this point prevents Customer Success from reconstructing information from scratch and ensures the implementation is aligned with the customer's expectations.</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Open the onboarding project and assign it to the responsible Customer Success team member.</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Link the onboarding project to the CRM deal record so that all subsequent activities are traceable to the original sale. Notify the assigned Customer Success owner directly — do not rely solely on system notifications — and confirm receipt of the handoff before considering this step complete.</w:t>
            </w:r>
          </w:p>
        </w:tc>
      </w:tr>
    </w:tbl>
    <w:p>
      <w:pPr>
        <w:spacing w:after="160"/>
      </w:pPr>
    </w:p>
    <w:p>
      <w:pPr>
        <w:pStyle w:val="Heading2"/>
      </w:pPr>
      <w:r>
        <w:t>Step 2 — Kickoff Meeting</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Schedule the kickoff meeting with the customer's key stakeholders and internal team.</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Confirm attendance of all decision-makers and technical contacts on the customer side, as well as the Sales representative who closed the deal. Sharing a pre-meeting agenda in advance increases engagement and shortens the session duration.</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Run the kickoff session, presenting the implementation schedule, role assignments, deliverable owners and immediate next steps.</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Walk through the full onboarding timeline, milestone by milestone, ensuring the customer understands what is expected from them at each stage — particularly regarding data submission and availability for training sessions. Address open questions before closing the meeting.</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3</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Distribute the kickoff summary and agreed action items to all participants.</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Send the written summary within one business day of the session. The summary must capture decisions made, deadlines accepted by each party and the escalation path for issues — this document serves as the working agreement for the remainder of the onboarding.</w:t>
            </w:r>
          </w:p>
        </w:tc>
      </w:tr>
    </w:tbl>
    <w:p>
      <w:pPr>
        <w:spacing w:after="160"/>
      </w:pPr>
    </w:p>
    <w:p>
      <w:pPr>
        <w:pStyle w:val="Heading2"/>
      </w:pPr>
      <w:r>
        <w:t>Step 3 — Data and Access Collection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Submit all required data records, files and integration credentials to Customer Success.</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The customer is responsible for providing every item listed in the data checklist shared at the kickoff meeting. Submissions must be complete — partial data sets block environment configuration and delay go-live. If an item cannot be provided by the agreed date, notify Customer Success immediately to allow schedule adjustment.</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Confirm that all system access permissions have been provisioned and are functional.</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Customer Success must verify that each credential and integration access received is valid and operational before signaling readiness to begin configuration. Test access where possible at this stage rather than discovering failures mid-setup.</w:t>
            </w:r>
          </w:p>
        </w:tc>
      </w:tr>
    </w:tbl>
    <w:p>
      <w:pPr>
        <w:spacing w:after="160"/>
      </w:pPr>
    </w:p>
    <w:p>
      <w:pPr>
        <w:pStyle w:val="Heading2"/>
      </w:pPr>
      <w:r>
        <w:t>Step 4 — Environment Configuration and User Training</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Configure the environment using the customer's data, integration credentials and agreed specifications.</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Follow the configuration checklist established during the kickoff. Apply the customer's records systematically and document each configuration decision — this audit trail is essential for troubleshooting during and after go-live.</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Validate the configured environment against the requirements agreed at kickoff before beginning training.</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Run end-to-end functional checks covering the customer's primary use cases. Resolve any discrepancies between the configured state and the agreed specifications before exposing users to the environment — training on a misconfigured system creates confusion and reduces retention.</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3</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Conduct training sessions with the customer's key users.</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Structure sessions around the customer's actual workflows and data, not generic product demos. Record attendance for each session and note questions raised and concepts that required repeated explanation — this information feeds directly into the readiness assessment in the next step.</w:t>
            </w:r>
          </w:p>
        </w:tc>
      </w:tr>
    </w:tbl>
    <w:p>
      <w:pPr>
        <w:spacing w:after="160"/>
      </w:pPr>
    </w:p>
    <w:p>
      <w:pPr>
        <w:pStyle w:val="Heading2"/>
      </w:pPr>
      <w:r>
        <w:t>Step 5 — Readiness Assessment</w:t>
      </w:r>
    </w:p>
    <w:p>
      <w:pPr>
        <w:spacing w:after="120"/>
      </w:pPr>
      <w:r>
        <w:rPr>
          <w:b/>
          <w:color w:val="274E13"/>
        </w:rPr>
        <w:t xml:space="preserve">Decision: </w:t>
      </w:r>
      <w:r>
        <w:rPr>
          <w:i/>
        </w:rPr>
        <w:t>Is the customer ready to operate independently?</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3402"/>
        <w:gridCol w:w="5669"/>
      </w:tblGrid>
      <w:tr>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Result</w:t>
            </w:r>
          </w:p>
        </w:tc>
        <w:tc>
          <w:tcPr>
            <w:tcW w:type="dxa" w:w="5669"/>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Next Step</w:t>
            </w:r>
          </w:p>
        </w:tc>
      </w:tr>
      <w:tr>
        <w:tc>
          <w:tcPr>
            <w:tcW w:type="dxa" w:w="3402"/>
            <w:vAlign w:val="center"/>
            <w:tcMar>
              <w:top w:w="80" w:type="dxa"/>
              <w:left w:w="140" w:type="dxa"/>
              <w:bottom w:w="80" w:type="dxa"/>
              <w:right w:w="140" w:type="dxa"/>
            </w:tcMar>
            <w:shd w:val="clear" w:color="auto" w:fill="F9FAFB"/>
          </w:tcPr>
          <w:p>
            <w:pPr>
              <w:spacing w:before="40" w:after="40"/>
            </w:pPr>
            <w:r/>
            <w:r>
              <w:rPr>
                <w:b/>
                <w:color w:val="274E13"/>
                <w:sz w:val="22"/>
              </w:rPr>
              <w:t>YES</w:t>
            </w:r>
            <w:r>
              <w:rPr>
                <w:sz w:val="22"/>
              </w:rPr>
              <w:t xml:space="preserve"> — Confirmed ready</w:t>
            </w:r>
          </w:p>
        </w:tc>
        <w:tc>
          <w:tcPr>
            <w:tcW w:type="dxa" w:w="5669"/>
            <w:vAlign w:val="center"/>
            <w:tcMar>
              <w:top w:w="80" w:type="dxa"/>
              <w:left w:w="140" w:type="dxa"/>
              <w:bottom w:w="80" w:type="dxa"/>
              <w:right w:w="140" w:type="dxa"/>
            </w:tcMar>
            <w:shd w:val="clear" w:color="auto" w:fill="F9FAFB"/>
          </w:tcPr>
          <w:p>
            <w:pPr>
              <w:spacing w:before="40" w:after="40"/>
            </w:pPr>
            <w:r/>
            <w:r>
              <w:rPr>
                <w:sz w:val="22"/>
              </w:rPr>
              <w:t>Proceed to Step 6 — Go-Live Formalization, Step 1.</w:t>
            </w:r>
          </w:p>
        </w:tc>
      </w:tr>
      <w:tr>
        <w:tc>
          <w:tcPr>
            <w:tcW w:type="dxa" w:w="3402"/>
            <w:vAlign w:val="center"/>
            <w:tcMar>
              <w:top w:w="80" w:type="dxa"/>
              <w:left w:w="140" w:type="dxa"/>
              <w:bottom w:w="80" w:type="dxa"/>
              <w:right w:w="140" w:type="dxa"/>
            </w:tcMar>
          </w:tcPr>
          <w:p>
            <w:pPr>
              <w:spacing w:before="40" w:after="40"/>
            </w:pPr>
            <w:r/>
            <w:r>
              <w:rPr>
                <w:b/>
                <w:color w:val="274E13"/>
                <w:sz w:val="22"/>
              </w:rPr>
              <w:t>NO</w:t>
            </w:r>
            <w:r>
              <w:rPr>
                <w:sz w:val="22"/>
              </w:rPr>
              <w:t xml:space="preserve"> — Needs reinforcement</w:t>
            </w:r>
          </w:p>
        </w:tc>
        <w:tc>
          <w:tcPr>
            <w:tcW w:type="dxa" w:w="5669"/>
            <w:vAlign w:val="center"/>
            <w:tcMar>
              <w:top w:w="80" w:type="dxa"/>
              <w:left w:w="140" w:type="dxa"/>
              <w:bottom w:w="80" w:type="dxa"/>
              <w:right w:w="140" w:type="dxa"/>
            </w:tcMar>
          </w:tcPr>
          <w:p>
            <w:pPr>
              <w:spacing w:before="40" w:after="40"/>
            </w:pPr>
            <w:r/>
            <w:r>
              <w:rPr>
                <w:sz w:val="22"/>
              </w:rPr>
              <w:t>Proceed to Step 5B — Training Reinforcement, Step 1.</w:t>
            </w:r>
          </w:p>
        </w:tc>
      </w:tr>
    </w:tbl>
    <w:p>
      <w:pPr>
        <w:spacing w:after="160"/>
      </w:pPr>
    </w:p>
    <w:p>
      <w:pPr>
        <w:pStyle w:val="Heading2"/>
      </w:pPr>
      <w:r>
        <w:t>Step 5B — Training Reinforcement</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Compile the knowledge gaps and recurring questions identified during the training sessions.</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Reference the notes taken during Step 4, Step 3. Categorize gaps by theme (e.g., navigation, reporting, integrations) to design a targeted session — a generic repeat of the original training rarely resolves specific blockers.</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Schedule and conduct a focused reinforcement session addressing the identified gaps.</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The session must be practical, using the customer's own configured environment and real data scenarios. After completing the session, re-evaluate readiness before proceeding — if gaps persist, escalate to the Customer Success lead to determine whether an additional cycle or a scope adjustment is required. After the reinforcement session is completed and readiness is confirmed, proceed to Step 6 — Go-Live Formalization, Step 1.</w:t>
            </w:r>
          </w:p>
        </w:tc>
      </w:tr>
    </w:tbl>
    <w:p>
      <w:pPr>
        <w:spacing w:after="160"/>
      </w:pPr>
    </w:p>
    <w:p>
      <w:pPr>
        <w:pStyle w:val="Heading2"/>
      </w:pPr>
      <w:r>
        <w:t>Step 6 — Go-Live Formalization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Confirm activation with the customer through a formal sign-off.</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Obtain explicit confirmation — written or recorded — from the customer's designated contact that they accept the environment as delivered and are ready to operate. Verbal confirmation alone is not sufficient; a brief email exchange or a signed acceptance record is the minimum standard.</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Record the go-live date and activation status in the CRM.</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Update the onboarding project and the linked deal record simultaneously. The go-live date is a key metric for renewal tracking, SLA compliance and reporting — an unrecorded go-live is treated as an open onboarding in all downstream reports.</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3</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Initiate the structured post-go-live follow-up routine with the customer.</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Schedule the first follow-up touchpoint within the timeframe established by the unit's success methodology. The transition from onboarding to ongoing account management must be explicit — communicate to the customer who their primary point of contact will be going forward.</w:t>
            </w:r>
          </w:p>
        </w:tc>
      </w:tr>
    </w:tbl>
    <w:p>
      <w:pPr>
        <w:spacing w:after="160"/>
      </w:pPr>
    </w:p>
    <w:p>
      <w:pPr>
        <w:pStyle w:val="Heading1"/>
      </w:pPr>
      <w:r>
        <w:t>4. Risk &amp; quality notes</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67"/>
        <w:gridCol w:w="8504"/>
      </w:tblGrid>
      <w:tr>
        <w:tc>
          <w:tcPr>
            <w:tcW w:type="dxa" w:w="56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r>
          </w:p>
        </w:tc>
        <w:tc>
          <w:tcPr>
            <w:tcW w:type="dxa" w:w="8504"/>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Risk / quality note</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This procedure covers the period from the signed contract to the customer's first independent operation ONLY — post-go-live account management, renewal and expansion activities are handled under separate processes and must not be conflated with onboarding tasks.</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The onboarding project MUST NOT be opened before the contract is fully signed and registered in the CRM — verbal agreements, letters of intent or purchase orders pending signature do not constitute valid triggers for this process.</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Environment configuration MUST NOT begin before ALL required data, credentials and access have been received and validated by Customer Success — starting with incomplete inputs results in a partial setup that requires rework, extends the timeline and erodes customer confidence.</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The readiness assessment at Step 5 is conducted and decided by Customer Success based on observable performance during training — customer self-reported confidence is an input, not the sole criterion, and does not override the team's professional judgment.</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Go-live MUST NOT be formalized if the customer has not passed the readiness assessment — recording activation before confirmed readiness creates a false milestone, exposes the customer to operational failure and undermines post-go-live metrics.</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The sales handoff context recorded in the CRM (pain points, committed deliverables, special conditions) is the FIRST source of truth for the Customer Success team — failure to document this information at Step 1 forces reconstruction from memory, risks misaligned implementation priorities and degrades the customer experience from day one.</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The go-live date and activation status must be recorded in the CRM before the onboarding project is closed — incomplete records prevent accurate SLA and renewal tracking, and any onboarding without a recorded go-live date will appear as open in all operational reports.</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If the customer is unable to provide the required data or access by the agreed deadline (Step 3), Customer Success must formally revise the implementation schedule and communicate the updated timeline in writing — silently absorbing the delay without adjusting milestones creates unrealistic go-live commitments.</w:t>
            </w:r>
          </w:p>
        </w:tc>
      </w:tr>
    </w:tbl>
    <w:p>
      <w:pPr>
        <w:pStyle w:val="Heading1"/>
      </w:pPr>
      <w:r>
        <w:t>5. Revision history</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1247"/>
        <w:gridCol w:w="2041"/>
        <w:gridCol w:w="4082"/>
        <w:gridCol w:w="1701"/>
      </w:tblGrid>
      <w:tr>
        <w:tc>
          <w:tcPr>
            <w:tcW w:type="dxa" w:w="124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Version</w:t>
            </w:r>
          </w:p>
        </w:tc>
        <w:tc>
          <w:tcPr>
            <w:tcW w:type="dxa" w:w="2041"/>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Date</w:t>
            </w:r>
          </w:p>
        </w:tc>
        <w:tc>
          <w:tcPr>
            <w:tcW w:type="dxa" w:w="408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Change description</w:t>
            </w:r>
          </w:p>
        </w:tc>
        <w:tc>
          <w:tcPr>
            <w:tcW w:type="dxa" w:w="1701"/>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Owner</w:t>
            </w:r>
          </w:p>
        </w:tc>
      </w:tr>
      <w:tr>
        <w:tc>
          <w:tcPr>
            <w:tcW w:type="dxa" w:w="1247"/>
            <w:vAlign w:val="center"/>
            <w:tcMar>
              <w:top w:w="80" w:type="dxa"/>
              <w:left w:w="140" w:type="dxa"/>
              <w:bottom w:w="80" w:type="dxa"/>
              <w:right w:w="140" w:type="dxa"/>
            </w:tcMar>
            <w:shd w:val="clear" w:color="auto" w:fill="F9FAFB"/>
          </w:tcPr>
          <w:p>
            <w:pPr>
              <w:spacing w:before="60" w:after="60"/>
              <w:jc w:val="center"/>
            </w:pPr>
            <w:r/>
            <w:r>
              <w:rPr>
                <w:rFonts w:ascii="Calibri" w:hAnsi="Calibri"/>
                <w:sz w:val="22"/>
              </w:rPr>
              <w:t>1.0</w:t>
            </w:r>
          </w:p>
        </w:tc>
        <w:tc>
          <w:tcPr>
            <w:tcW w:type="dxa" w:w="204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June 22, 2026</w:t>
            </w:r>
          </w:p>
        </w:tc>
        <w:tc>
          <w:tcPr>
            <w:tcW w:type="dxa" w:w="408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Initial issue</w:t>
            </w:r>
          </w:p>
        </w:tc>
        <w:tc>
          <w:tcPr>
            <w:tcW w:type="dxa" w:w="170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w:t>
            </w:r>
          </w:p>
        </w:tc>
      </w:tr>
      <w:tr>
        <w:tc>
          <w:tcPr>
            <w:tcW w:type="dxa" w:w="1247"/>
            <w:vAlign w:val="center"/>
            <w:tcMar>
              <w:top w:w="80" w:type="dxa"/>
              <w:left w:w="140" w:type="dxa"/>
              <w:bottom w:w="80" w:type="dxa"/>
              <w:right w:w="140" w:type="dxa"/>
            </w:tcMar>
          </w:tcPr>
          <w:p>
            <w:pPr>
              <w:spacing w:before="60" w:after="60"/>
              <w:jc w:val="left"/>
            </w:pPr>
            <w:r/>
            <w:r>
              <w:rPr>
                <w:rFonts w:ascii="Calibri" w:hAnsi="Calibri"/>
                <w:sz w:val="22"/>
              </w:rPr>
            </w:r>
          </w:p>
        </w:tc>
        <w:tc>
          <w:tcPr>
            <w:tcW w:type="dxa" w:w="2041"/>
            <w:vAlign w:val="center"/>
            <w:tcMar>
              <w:top w:w="80" w:type="dxa"/>
              <w:left w:w="140" w:type="dxa"/>
              <w:bottom w:w="80" w:type="dxa"/>
              <w:right w:w="140" w:type="dxa"/>
            </w:tcMar>
          </w:tcPr>
          <w:p>
            <w:pPr>
              <w:spacing w:before="60" w:after="60"/>
              <w:jc w:val="left"/>
            </w:pPr>
            <w:r/>
            <w:r>
              <w:rPr>
                <w:rFonts w:ascii="Calibri" w:hAnsi="Calibri"/>
                <w:sz w:val="22"/>
              </w:rPr>
            </w:r>
          </w:p>
        </w:tc>
        <w:tc>
          <w:tcPr>
            <w:tcW w:type="dxa" w:w="4082"/>
            <w:vAlign w:val="center"/>
            <w:tcMar>
              <w:top w:w="80" w:type="dxa"/>
              <w:left w:w="140" w:type="dxa"/>
              <w:bottom w:w="80" w:type="dxa"/>
              <w:right w:w="140" w:type="dxa"/>
            </w:tcMar>
          </w:tcPr>
          <w:p>
            <w:pPr>
              <w:spacing w:before="60" w:after="60"/>
              <w:jc w:val="left"/>
            </w:pPr>
            <w:r/>
            <w:r>
              <w:rPr>
                <w:rFonts w:ascii="Calibri" w:hAnsi="Calibri"/>
                <w:sz w:val="22"/>
              </w:rPr>
            </w:r>
          </w:p>
        </w:tc>
        <w:tc>
          <w:tcPr>
            <w:tcW w:type="dxa" w:w="1701"/>
            <w:vAlign w:val="center"/>
            <w:tcMar>
              <w:top w:w="80" w:type="dxa"/>
              <w:left w:w="140" w:type="dxa"/>
              <w:bottom w:w="80" w:type="dxa"/>
              <w:right w:w="140" w:type="dxa"/>
            </w:tcMar>
          </w:tcPr>
          <w:p>
            <w:pPr>
              <w:spacing w:before="60" w:after="60"/>
              <w:jc w:val="left"/>
            </w:pPr>
            <w:r/>
            <w:r>
              <w:rPr>
                <w:rFonts w:ascii="Calibri" w:hAnsi="Calibri"/>
                <w:sz w:val="22"/>
              </w:rPr>
            </w:r>
          </w:p>
        </w:tc>
      </w:tr>
      <w:tr>
        <w:tc>
          <w:tcPr>
            <w:tcW w:type="dxa" w:w="1247"/>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c>
          <w:tcPr>
            <w:tcW w:type="dxa" w:w="204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c>
          <w:tcPr>
            <w:tcW w:type="dxa" w:w="408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c>
          <w:tcPr>
            <w:tcW w:type="dxa" w:w="170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r>
    </w:tbl>
    <w:p>
      <w:pPr>
        <w:spacing w:after="240"/>
      </w:pPr>
    </w:p>
    <w:sectPr w:rsidR="00FC693F" w:rsidRPr="0006063C" w:rsidSect="00034616">
      <w:headerReference w:type="default" r:id="rId9"/>
      <w:footerReference w:type="default" r:id="rId10"/>
      <w:pgSz w:w="12240" w:h="15840"/>
      <w:pgMar w:top="1728" w:right="1584" w:bottom="1440" w:left="1584" w:header="34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jc w:val="center"/>
    </w:pPr>
    <w:r>
      <w:rPr>
        <w:rFonts w:ascii="Calibri" w:hAnsi="Calibri"/>
        <w:color w:val="6B7280"/>
        <w:sz w:val="18"/>
      </w:rPr>
      <w:t xml:space="preserve">Page </w:t>
    </w:r>
    <w:r>
      <w:rPr>
        <w:rFonts w:ascii="Calibri" w:hAnsi="Calibri"/>
        <w:color w:val="6B7280"/>
        <w:sz w:val="18"/>
      </w:rPr>
      <w:fldChar w:fldCharType="begin"/>
      <w:instrText xml:space="preserve"> PAGE </w:instrText>
      <w:fldChar w:fldCharType="separate"/>
      <w:t>1</w:t>
      <w:fldChar w:fldCharType="end"/>
    </w:r>
    <w:r>
      <w:rPr>
        <w:rFonts w:ascii="Calibri" w:hAnsi="Calibri"/>
        <w:color w:val="6B7280"/>
        <w:sz w:val="18"/>
      </w:rPr>
      <w:t xml:space="preserve"> of </w:t>
    </w:r>
    <w:r>
      <w:rPr>
        <w:rFonts w:ascii="Calibri" w:hAnsi="Calibri"/>
        <w:color w:val="6B7280"/>
        <w:sz w:val="18"/>
      </w:rPr>
      <w:fldChar w:fldCharType="begin"/>
      <w:instrText xml:space="preserve"> NUMPAGES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6236"/>
      <w:gridCol w:w="2835"/>
    </w:tblGrid>
    <w:tr>
      <w:tc>
        <w:tcPr>
          <w:tcW w:type="dxa" w:w="4535"/>
          <w:vAlign w:val="bottom"/>
        </w:tcPr>
        <w:p>
          <w:pPr>
            <w:spacing w:after="0" w:before="0"/>
            <w:jc w:val="left"/>
          </w:pPr>
          <w:r/>
          <w:r>
            <w:rPr>
              <w:rFonts w:ascii="Calibri" w:hAnsi="Calibri"/>
              <w:color w:val="6B7280"/>
              <w:sz w:val="18"/>
            </w:rPr>
            <w:t>Customer Onboarding</w:t>
          </w:r>
        </w:p>
      </w:tc>
      <w:tc>
        <w:tcPr>
          <w:tcW w:type="dxa" w:w="4535"/>
          <w:vAlign w:val="bottom"/>
        </w:tcPr>
        <w:p>
          <w:pPr>
            <w:spacing w:after="0" w:before="0"/>
            <w:jc w:val="right"/>
          </w:pPr>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jc w:val="both"/>
    </w:pPr>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74E13"/>
      <w:sz w:val="30"/>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