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1D5DB"/>
          <w:left w:val="single" w:sz="6" w:color="D1D5DB"/>
          <w:bottom w:val="single" w:sz="6" w:color="D1D5DB"/>
          <w:right w:val="single" w:sz="6" w:color="D1D5DB"/>
          <w:insideH w:val="nil"/>
          <w:insideV w:val="nil"/>
        </w:tblBorders>
      </w:tblPr>
      <w:tblGrid>
        <w:gridCol w:w="9071"/>
      </w:tblGrid>
      <w:tr>
        <w:tc>
          <w:tcPr>
            <w:tcW w:type="dxa" w:w="9072"/>
            <w:tcMar>
              <w:top w:w="320" w:type="dxa"/>
              <w:left w:w="360" w:type="dxa"/>
              <w:bottom w:w="320" w:type="dxa"/>
              <w:right w:w="360" w:type="dxa"/>
            </w:tcMar>
          </w:tcPr>
          <w:p>
            <w:pPr>
              <w:spacing w:after="280" w:line="276" w:lineRule="auto"/>
              <w:jc w:val="left"/>
            </w:pPr>
            <w:r/>
            <w:r>
              <w:rPr>
                <w:rFonts w:ascii="Calibri" w:hAnsi="Calibri"/>
                <w:color w:val="6B7280"/>
                <w:sz w:val="32"/>
              </w:rPr>
              <w:t>Nome da Empresa/Instituição</w:t>
            </w:r>
          </w:p>
          <w:p>
            <w:pPr>
              <w:spacing w:after="12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0"/>
                <w:spacing w:val="40"/>
              </w:rPr>
              <w:t>PROCEDIMENTO OPERACIONAL PADRÃO nº POP-003</w:t>
            </w:r>
          </w:p>
          <w:p>
            <w:pPr>
              <w:spacing w:after="360" w:line="276" w:lineRule="auto"/>
              <w:jc w:val="left"/>
            </w:pPr>
            <w:r>
              <w:rPr>
                <w:rFonts w:ascii="Calibri" w:hAnsi="Calibri"/>
                <w:b/>
                <w:color w:val="1A1A1A"/>
                <w:sz w:val="44"/>
              </w:rPr>
              <w:t xml:space="preserve">Processo: </w:t>
            </w:r>
            <w:r>
              <w:rPr>
                <w:rFonts w:ascii="Calibri" w:hAnsi="Calibri"/>
                <w:b/>
                <w:color w:val="1A1A1A"/>
                <w:sz w:val="44"/>
              </w:rPr>
              <w:t>Atendimento de Chamado de Suporte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Código do documento: </w:t>
            </w:r>
            <w:r>
              <w:rPr>
                <w:rFonts w:ascii="Calibri" w:hAnsi="Calibri"/>
                <w:color w:val="1A1A1A"/>
                <w:sz w:val="22"/>
              </w:rPr>
              <w:t>POP-003</w:t>
            </w:r>
            <w:r>
              <w:rPr>
                <w:rFonts w:ascii="Calibri" w:hAnsi="Calibri"/>
                <w:color w:val="6B7280"/>
                <w:sz w:val="22"/>
              </w:rPr>
              <w:t xml:space="preserve">   ·   </w:t>
            </w:r>
            <w:r>
              <w:rPr>
                <w:rFonts w:ascii="Calibri" w:hAnsi="Calibri"/>
                <w:b/>
                <w:color w:val="6B7280"/>
                <w:sz w:val="22"/>
              </w:rPr>
              <w:t xml:space="preserve">Versão: </w:t>
            </w:r>
            <w:r>
              <w:rPr>
                <w:rFonts w:ascii="Calibri" w:hAnsi="Calibri"/>
                <w:color w:val="1A1A1A"/>
                <w:sz w:val="22"/>
              </w:rPr>
              <w:t>1.0</w:t>
            </w:r>
          </w:p>
          <w:p>
            <w:pPr>
              <w:spacing w:after="8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Data de emissão: </w:t>
            </w:r>
            <w:r>
              <w:rPr>
                <w:rFonts w:ascii="Calibri" w:hAnsi="Calibri"/>
                <w:color w:val="1A1A1A"/>
                <w:sz w:val="22"/>
              </w:rPr>
              <w:t>12 de junho de 2026</w:t>
            </w:r>
          </w:p>
          <w:p>
            <w:pPr>
              <w:spacing w:after="0" w:line="276" w:lineRule="auto"/>
              <w:jc w:val="left"/>
            </w:pPr>
            <w:r>
              <w:rPr>
                <w:rFonts w:ascii="Calibri" w:hAnsi="Calibri"/>
                <w:b/>
                <w:color w:val="6B7280"/>
                <w:sz w:val="22"/>
              </w:rPr>
              <w:t xml:space="preserve">Responsável pelo processo: </w:t>
            </w:r>
            <w:r>
              <w:rPr>
                <w:rFonts w:ascii="Calibri" w:hAnsi="Calibri"/>
                <w:color w:val="1A1A1A"/>
                <w:sz w:val="22"/>
              </w:rPr>
              <w:t>—</w:t>
            </w:r>
          </w:p>
        </w:tc>
      </w:tr>
    </w:tbl>
    <w:p>
      <w:pPr>
        <w:spacing w:after="2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022"/>
        <w:gridCol w:w="3022"/>
        <w:gridCol w:w="3027"/>
      </w:tblGrid>
      <w:tr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Elaboração</w:t>
            </w:r>
          </w:p>
        </w:tc>
        <w:tc>
          <w:tcPr>
            <w:tcW w:type="dxa" w:w="302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Revisão</w:t>
            </w:r>
          </w:p>
        </w:tc>
        <w:tc>
          <w:tcPr>
            <w:tcW w:type="dxa" w:w="302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Aprovação</w:t>
            </w:r>
          </w:p>
        </w:tc>
      </w:tr>
      <w:tr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12 de junho de 2026</w:t>
            </w:r>
          </w:p>
        </w:tc>
        <w:tc>
          <w:tcPr>
            <w:tcW w:type="dxa" w:w="302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  <w:tc>
          <w:tcPr>
            <w:tcW w:type="dxa" w:w="302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________________</w:t>
              <w:br/>
              <w:t>Data: ____/____/______</w:t>
            </w:r>
          </w:p>
        </w:tc>
      </w:tr>
    </w:tbl>
    <w:p>
      <w:pPr>
        <w:spacing w:after="120"/>
      </w:pPr>
    </w:p>
    <w:p>
      <w:pPr>
        <w:pStyle w:val="Heading1"/>
      </w:pPr>
      <w:r>
        <w:t>1. Objetivo</w:t>
      </w:r>
    </w:p>
    <w:p>
      <w:pPr>
        <w:spacing w:after="240"/>
      </w:pPr>
      <w:r>
        <w:t>Estabelecer o procedimento para o atendimento de chamados de suporte, desde a abertura pelo cliente no canal oficial até o encerramento validado, incluindo a triagem e classificação pelo Suporte N1, a decisão de resolução no primeiro nível ou escalamento ao Suporte N2, a aplicação da solução, a resposta ao cliente e a validação da solução pelo próprio cliente, com previsão de ciclo de retorno ao N2 nos casos em que o problema persiste após a primeira intervenção.</w:t>
      </w:r>
    </w:p>
    <w:p>
      <w:pPr>
        <w:pStyle w:val="Heading1"/>
      </w:pPr>
      <w:r>
        <w:t>2. Responsabilidades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51"/>
        <w:gridCol w:w="6520"/>
      </w:tblGrid>
      <w:tr>
        <w:tc>
          <w:tcPr>
            <w:tcW w:type="dxa" w:w="255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Ator</w:t>
            </w:r>
          </w:p>
        </w:tc>
        <w:tc>
          <w:tcPr>
            <w:tcW w:type="dxa" w:w="6520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Responsabilidade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Suporte N1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Receber, registrar, triar e classificar o chamado por tipo e prioridade; consultar a base de conhecimento para verificar soluções documentadas; decidir pela resolução no primeiro nível ou pelo escalamento ao Suporte N2; aplicar a solução aprovada — seja oriunda do próprio N1 ou encaminhada pelo N2 — documentar a ação no chamado e notificar o cliente com a resposta e orientações pertinentes.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Suporte N2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Receber chamados escalados pelo Suporte N1 ou retornados por falha na resolução; investigar logs, reproduzir o problema em ambiente controlado, identificar a causa raiz e aplicar correção definitiva; documentar a solução adotada para subsidiar o Suporte N1 na resposta ao cliente e enriquecer a base de conhecimento.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sz w:val="22"/>
              </w:rPr>
              <w:t>Cliente</w:t>
            </w:r>
          </w:p>
        </w:tc>
        <w:tc>
          <w:tcPr>
            <w:tcW w:type="dxa" w:w="6520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Abrir o chamado no canal de suporte oficial; testar a solução aplicada após notificação do Suporte N1 e confirmar explicitamente se o problema foi resolvido ou se persiste, viabilizando o encerramento ou o retorno do chamado.</w:t>
            </w:r>
          </w:p>
        </w:tc>
      </w:tr>
    </w:tbl>
    <w:p>
      <w:pPr>
        <w:spacing w:after="240"/>
      </w:pPr>
    </w:p>
    <w:p>
      <w:pPr>
        <w:pStyle w:val="Heading1"/>
      </w:pPr>
      <w:r>
        <w:t>3. Etapas Detalhadas</w:t>
      </w:r>
    </w:p>
    <w:p>
      <w:pPr>
        <w:pStyle w:val="Heading2"/>
      </w:pPr>
      <w:r>
        <w:t>Etapa 1 — Triagem e Classificação do Chamado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Receber e registrar o chamado aberto pelo cliente.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Gatilho: o processo se inicia com a abertura do chamado pelo cliente no canal de suporte oficial. Verificar dados de identificação do cliente, canal de abertura e número de protocolo gerado, assegurando que o registro esteja completo antes de prosseguir.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Classificar o chamado por tipo e nível de prioridade.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Atribuir categoria técnica (ex.: falha funcional, erro de configuração, dúvida de uso) e nível de prioridade conforme critérios estabelecidos pela unidade. A classificação correta orienta o tempo de resposta esperado e o roteamento adequado do chamado.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Consultar a base de conhecimento em busca de solução documentada para o caso.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Pesquisar por categoria, sintoma e histórico de ocorrências similares. Caso exista solução documentada e validada, utilizá-la como referência direta para a resolução no primeiro nível, reduzindo o tempo de atendimento e evitando escalamentos desnecessários.</w:t>
            </w:r>
          </w:p>
        </w:tc>
      </w:tr>
    </w:tbl>
    <w:p>
      <w:pPr>
        <w:spacing w:after="160"/>
      </w:pPr>
    </w:p>
    <w:p>
      <w:pPr>
        <w:pStyle w:val="Heading2"/>
      </w:pPr>
      <w:r>
        <w:t>Etapa 1 — Decisão: Resolve no primeiro nível?</w:t>
      </w:r>
    </w:p>
    <w:p>
      <w:pPr>
        <w:spacing w:after="120"/>
      </w:pPr>
      <w:r>
        <w:rPr>
          <w:b/>
          <w:color w:val="274E13"/>
        </w:rPr>
        <w:t xml:space="preserve">Decisão: </w:t>
      </w:r>
      <w:r>
        <w:rPr>
          <w:i/>
        </w:rPr>
        <w:t>Resolve no primeiro nível?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402"/>
        <w:gridCol w:w="5669"/>
      </w:tblGrid>
      <w:tr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Resultado</w:t>
            </w:r>
          </w:p>
        </w:tc>
        <w:tc>
          <w:tcPr>
            <w:tcW w:type="dxa" w:w="5669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Próximo Passo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SIM</w:t>
            </w:r>
            <w:r>
              <w:rPr>
                <w:sz w:val="22"/>
              </w:rPr>
              <w:t xml:space="preserve"> — Resolução pelo N1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3, Passo 1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NÃO</w:t>
            </w:r>
            <w:r>
              <w:rPr>
                <w:sz w:val="22"/>
              </w:rPr>
              <w:t xml:space="preserve"> — Escalamento ao N2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sz w:val="22"/>
              </w:rPr>
              <w:t>Prosseguir para Etapa 2, Passo 1</w:t>
            </w:r>
          </w:p>
        </w:tc>
      </w:tr>
    </w:tbl>
    <w:p>
      <w:pPr>
        <w:spacing w:after="160"/>
      </w:pPr>
    </w:p>
    <w:p>
      <w:pPr>
        <w:pStyle w:val="Heading2"/>
      </w:pPr>
      <w:r>
        <w:t>Etapa 2 — Análise de Causa Raiz e Correção pelo N2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Receber o chamado escalado e revisar o histórico e contexto registrado pelo Suporte N1.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Verificar classificação atribuída, sintomas descritos, soluções já tentadas e quaisquer evidências coletadas anteriormente. A revisão do histórico evita retrabalho e orienta a investigação para os pontos ainda não explorados.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Investigar logs e reproduzir o problema em ambiente controlado.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Coletar e analisar registros de sistema relevantes para o período e contexto do problema. Reproduzir o comportamento relatado de forma isolada, de modo a confirmar a causa raiz sem risco de impacto ao ambiente de produção do cliente.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Aplicar a correção definitiva e documentar a solução adotada no chamado.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detalhadamente a causa identificada, os passos da correção aplicada e o resultado obtido. Após este passo, prosseguir para Etapa 3, Passo 1, para que o Suporte N1 comunique a solução ao cliente.</w:t>
            </w:r>
          </w:p>
        </w:tc>
      </w:tr>
    </w:tbl>
    <w:p>
      <w:pPr>
        <w:spacing w:after="160"/>
      </w:pPr>
    </w:p>
    <w:p>
      <w:pPr>
        <w:pStyle w:val="Heading2"/>
      </w:pPr>
      <w:r>
        <w:t>Etapa 3 — Aplicação da Solução e Resposta ao Cliente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Aplicar ou confirmar a aplicação da solução no contexto do cliente.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Para resoluções diretas do N1, executar a solução identificada na base de conhecimento ou elaborada na triagem. Para resoluções oriundas do N2, verificar se a correção já foi aplicada pelo N2 ou se requer ação complementar pelo N1 no ambiente do cliente.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no chamado todas as ações executadas e a solução aplicada.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registro deve ser detalhado o suficiente para permitir rastreabilidade futura e reaproveitamento na base de conhecimento. Incluir: ação realizada, data/hora e resultado imediato observado.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Notificar o cliente com a resposta, descrevendo a solução aplicada e eventuais orientações de uso.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Comunicar pelo mesmo canal do chamado. Quando aplicável, incluir instruções para evitar recorrência do problema. Informar ao cliente que a validação da solução é necessária para o encerramento do chamado.</w:t>
            </w:r>
          </w:p>
        </w:tc>
      </w:tr>
    </w:tbl>
    <w:p>
      <w:pPr>
        <w:spacing w:after="160"/>
      </w:pPr>
    </w:p>
    <w:p>
      <w:pPr>
        <w:pStyle w:val="Heading2"/>
      </w:pPr>
      <w:r>
        <w:t>Etapa 4 — Validação da Solução pelo Cliente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907"/>
        <w:gridCol w:w="3402"/>
        <w:gridCol w:w="4762"/>
      </w:tblGrid>
      <w:tr>
        <w:tc>
          <w:tcPr>
            <w:tcW w:type="dxa" w:w="90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Passo</w:t>
            </w:r>
          </w:p>
        </w:tc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Ação</w:t>
            </w:r>
          </w:p>
        </w:tc>
        <w:tc>
          <w:tcPr>
            <w:tcW w:type="dxa" w:w="476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Observação / Detalhe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Testar a solução aplicada e verificar se o problema foi efetivamente resolvido.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Realizar testes reais no ambiente e fluxo de trabalho afetados — não apenas testes superficiais. O teste deve cobrir o cenário exato que originou o chamado para garantir que a correção é efetiva.</w:t>
            </w:r>
          </w:p>
        </w:tc>
      </w:tr>
      <w:tr>
        <w:tc>
          <w:tcPr>
            <w:tcW w:type="dxa" w:w="90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Registrar e comunicar o resultado da validação ao Suporte N1.</w:t>
            </w:r>
          </w:p>
        </w:tc>
        <w:tc>
          <w:tcPr>
            <w:tcW w:type="dxa" w:w="476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Indicar de forma explícita se o problema foi resolvido ou se persiste. Em caso de persistência, descrever o comportamento ainda observado para subsidiar a nova análise pelo Suporte N2.</w:t>
            </w:r>
          </w:p>
        </w:tc>
      </w:tr>
    </w:tbl>
    <w:p>
      <w:pPr>
        <w:spacing w:after="160"/>
      </w:pPr>
    </w:p>
    <w:p>
      <w:pPr>
        <w:pStyle w:val="Heading2"/>
      </w:pPr>
      <w:r>
        <w:t>Etapa 4 — Decisão: Problema resolvido?</w:t>
      </w:r>
    </w:p>
    <w:p>
      <w:pPr>
        <w:spacing w:after="120"/>
      </w:pPr>
      <w:r>
        <w:rPr>
          <w:b/>
          <w:color w:val="274E13"/>
        </w:rPr>
        <w:t xml:space="preserve">Decisão: </w:t>
      </w:r>
      <w:r>
        <w:rPr>
          <w:i/>
        </w:rPr>
        <w:t>Problema resolvido?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402"/>
        <w:gridCol w:w="5669"/>
      </w:tblGrid>
      <w:tr>
        <w:tc>
          <w:tcPr>
            <w:tcW w:type="dxa" w:w="340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Resultado</w:t>
            </w:r>
          </w:p>
        </w:tc>
        <w:tc>
          <w:tcPr>
            <w:tcW w:type="dxa" w:w="5669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Próximo Passo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SIM</w:t>
            </w:r>
            <w:r>
              <w:rPr>
                <w:sz w:val="22"/>
              </w:rPr>
              <w:t xml:space="preserve"> — Encerramento do chamado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40" w:after="40"/>
            </w:pPr>
            <w:r/>
            <w:r>
              <w:rPr>
                <w:sz w:val="22"/>
              </w:rPr>
              <w:t>Encerrar o processo</w:t>
            </w:r>
          </w:p>
        </w:tc>
      </w:tr>
      <w:tr>
        <w:tc>
          <w:tcPr>
            <w:tcW w:type="dxa" w:w="340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b/>
                <w:color w:val="274E13"/>
                <w:sz w:val="22"/>
              </w:rPr>
              <w:t>NÃO</w:t>
            </w:r>
            <w:r>
              <w:rPr>
                <w:sz w:val="22"/>
              </w:rPr>
              <w:t xml:space="preserve"> — Problema persiste — retorno ao N2</w:t>
            </w:r>
          </w:p>
        </w:tc>
        <w:tc>
          <w:tcPr>
            <w:tcW w:type="dxa" w:w="5669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40" w:after="40"/>
            </w:pPr>
            <w:r/>
            <w:r>
              <w:rPr>
                <w:sz w:val="22"/>
              </w:rPr>
              <w:t>Retornar à Etapa 2, Passo 1</w:t>
            </w:r>
          </w:p>
        </w:tc>
      </w:tr>
    </w:tbl>
    <w:p>
      <w:pPr>
        <w:spacing w:after="160"/>
      </w:pPr>
    </w:p>
    <w:p>
      <w:pPr>
        <w:pStyle w:val="Heading1"/>
      </w:pPr>
      <w:r>
        <w:t>4. Pontos de Atenção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67"/>
        <w:gridCol w:w="8504"/>
      </w:tblGrid>
      <w:tr>
        <w:tc>
          <w:tcPr>
            <w:tcW w:type="dxa" w:w="56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8504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Ponto de Atenção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Este procedimento aplica-se SOMENTE a chamados abertos por canais de suporte oficiais — solicitações recebidas por canais informais (mensagens diretas, e-mails pessoais, contatos verbais) não configuram abertura de chamado e não devem ser tratadas neste fluxo sem o devido registro formal.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escalamento para o Suporte N2 SOMENTE deve ocorrer após o esgotamento das possibilidades de resolução no primeiro nível e a consulta à base de conhecimento — escalamentos prematuros sem essa verificação sobrecarregam o N2 com casos que poderiam ser resolvidos no N1 e comprometem o tempo de resposta dos chamados verdadeiramente complexos.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Cada ação executada no chamado deve ser OBRIGATORIAMENTE registrada no momento em que ocorre — a ausência de documentação impede rastreabilidade em caso de reincidência, prejudica a análise de causa raiz pelo N2 em novos escalamentos e inviabiliza o enriquecimento da base de conhecimento.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Quando o cliente confirma que o problema persiste após a validação, o retorno ocorre DIRETAMENTE para a Etapa 2 (Suporte N2) — não há nova triagem pelo Suporte N1, pois o contexto técnico já foi estabelecido; iniciar nova triagem neste caso gera retrabalho e atrasa a resolução.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O chamado SOMENTE pode ser encerrado após confirmação explícita do cliente de que o problema foi resolvido — o encerramento unilateral pelo suporte sem validação do cliente é vedado e pode mascarar índices de resolução, gerando reabertura do mesmo problema sem histórico adequado.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A solução identificada ou desenvolvida pelo Suporte N2 deve ser registrada na base de conhecimento ao final do atendimento — a omissão desse registro perpetua a necessidade de escalamento em ocorrências idênticas futuras, impedindo que o Suporte N1 resolva casos similares de forma autônoma.</w:t>
            </w:r>
          </w:p>
        </w:tc>
      </w:tr>
      <w:tr>
        <w:tc>
          <w:tcPr>
            <w:tcW w:type="dxa" w:w="56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color w:val="274E13"/>
                <w:sz w:val="26"/>
              </w:rPr>
              <w:t>⚠</w:t>
            </w:r>
          </w:p>
        </w:tc>
        <w:tc>
          <w:tcPr>
            <w:tcW w:type="dxa" w:w="8504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Em caso de reincidência do mesmo problema para o mesmo cliente, verificar PRIMEIRO se a correção anterior foi devidamente documentada no chamado original e se a solução definitiva foi de fato aplicada no ambiente correto — reincidências frequentemente indicam correção parcial ou aplicada em ambiente equivocado, não falha de um novo elemento.</w:t>
            </w:r>
          </w:p>
        </w:tc>
      </w:tr>
    </w:tbl>
    <w:p>
      <w:pPr>
        <w:pStyle w:val="Heading1"/>
      </w:pPr>
      <w:r>
        <w:t>5. Controle de Revisões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247"/>
        <w:gridCol w:w="2041"/>
        <w:gridCol w:w="4082"/>
        <w:gridCol w:w="1701"/>
      </w:tblGrid>
      <w:tr>
        <w:tc>
          <w:tcPr>
            <w:tcW w:type="dxa" w:w="1247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Versão</w:t>
            </w:r>
          </w:p>
        </w:tc>
        <w:tc>
          <w:tcPr>
            <w:tcW w:type="dxa" w:w="204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  <w:tc>
          <w:tcPr>
            <w:tcW w:type="dxa" w:w="4082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Descrição da alteração</w:t>
            </w:r>
          </w:p>
        </w:tc>
        <w:tc>
          <w:tcPr>
            <w:tcW w:type="dxa" w:w="1701"/>
            <w:shd w:val="clear" w:color="auto" w:fill="274E1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Responsável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sz w:val="22"/>
              </w:rPr>
              <w:t>1.0</w:t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12 de junho de 2026</w:t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Emissão inicial</w:t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  <w:t>—</w:t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  <w:tr>
        <w:tc>
          <w:tcPr>
            <w:tcW w:type="dxa" w:w="1247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204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4082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  <w:tc>
          <w:tcPr>
            <w:tcW w:type="dxa" w:w="1701"/>
            <w:vAlign w:val="center"/>
            <w:tcMar>
              <w:top w:w="80" w:type="dxa"/>
              <w:left w:w="140" w:type="dxa"/>
              <w:bottom w:w="80" w:type="dxa"/>
              <w:right w:w="140" w:type="dxa"/>
            </w:tcMar>
            <w:shd w:val="clear" w:color="auto" w:fill="F9FAFB"/>
          </w:tcPr>
          <w:p>
            <w:pPr>
              <w:spacing w:before="60" w:after="60"/>
              <w:jc w:val="left"/>
            </w:pPr>
            <w:r/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2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728" w:right="1584" w:bottom="1440" w:left="1584" w:header="34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B7280"/>
        <w:sz w:val="18"/>
      </w:rPr>
      <w:t xml:space="preserve">Página </w:t>
    </w:r>
    <w:r>
      <w:rPr>
        <w:rFonts w:ascii="Calibri" w:hAnsi="Calibri"/>
        <w:color w:val="6B7280"/>
        <w:sz w:val="18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6B7280"/>
        <w:sz w:val="18"/>
      </w:rPr>
      <w:t xml:space="preserve"> de </w:t>
    </w:r>
    <w:r>
      <w:rPr>
        <w:rFonts w:ascii="Calibri" w:hAnsi="Calibri"/>
        <w:color w:val="6B7280"/>
        <w:sz w:val="18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6236"/>
      <w:gridCol w:w="2835"/>
    </w:tblGrid>
    <w:tr>
      <w:tc>
        <w:tcPr>
          <w:tcW w:type="dxa" w:w="4535"/>
          <w:vAlign w:val="bottom"/>
        </w:tcPr>
        <w:p>
          <w:pPr>
            <w:spacing w:after="0" w:before="0"/>
            <w:jc w:val="left"/>
          </w:pPr>
          <w:r/>
          <w:r>
            <w:rPr>
              <w:rFonts w:ascii="Calibri" w:hAnsi="Calibri"/>
              <w:color w:val="6B7280"/>
              <w:sz w:val="18"/>
            </w:rPr>
            <w:t>Atendimento de Chamado de Suporte</w:t>
          </w:r>
        </w:p>
      </w:tc>
      <w:tc>
        <w:tcPr>
          <w:tcW w:type="dxa" w:w="4535"/>
          <w:vAlign w:val="bottom"/>
        </w:tcPr>
        <w:p>
          <w:pPr>
            <w:spacing w:after="0" w:before="0"/>
            <w:jc w:val="right"/>
          </w:pPr>
          <w:r/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  <w:jc w:val="both"/>
    </w:pPr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74E1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