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1D5DB"/>
          <w:left w:val="single" w:sz="6" w:color="D1D5DB"/>
          <w:bottom w:val="single" w:sz="6" w:color="D1D5DB"/>
          <w:right w:val="single" w:sz="6" w:color="D1D5DB"/>
          <w:insideH w:val="nil"/>
          <w:insideV w:val="nil"/>
        </w:tblBorders>
      </w:tblPr>
      <w:tblGrid>
        <w:gridCol w:w="9071"/>
      </w:tblGrid>
      <w:tr>
        <w:tc>
          <w:tcPr>
            <w:tcW w:type="dxa" w:w="9072"/>
            <w:tcMar>
              <w:top w:w="320" w:type="dxa"/>
              <w:left w:w="360" w:type="dxa"/>
              <w:bottom w:w="320" w:type="dxa"/>
              <w:right w:w="360" w:type="dxa"/>
            </w:tcMar>
          </w:tcPr>
          <w:p>
            <w:pPr>
              <w:spacing w:after="280" w:line="276" w:lineRule="auto"/>
              <w:jc w:val="left"/>
            </w:pPr>
            <w:r/>
            <w:r>
              <w:rPr>
                <w:rFonts w:ascii="Calibri" w:hAnsi="Calibri"/>
                <w:color w:val="6B7280"/>
                <w:sz w:val="32"/>
              </w:rPr>
              <w:t>Nome da Empresa/Instituição</w:t>
            </w:r>
          </w:p>
          <w:p>
            <w:pPr>
              <w:spacing w:after="12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0"/>
                <w:spacing w:val="40"/>
              </w:rPr>
              <w:t>PROCEDIMENTO OPERACIONAL PADRÃO nº POP-002</w:t>
            </w:r>
          </w:p>
          <w:p>
            <w:pPr>
              <w:spacing w:after="360" w:line="276" w:lineRule="auto"/>
              <w:jc w:val="left"/>
            </w:pPr>
            <w:r>
              <w:rPr>
                <w:rFonts w:ascii="Calibri" w:hAnsi="Calibri"/>
                <w:b/>
                <w:color w:val="1A1A1A"/>
                <w:sz w:val="44"/>
              </w:rPr>
              <w:t xml:space="preserve">Processo: </w:t>
            </w:r>
            <w:r>
              <w:rPr>
                <w:rFonts w:ascii="Calibri" w:hAnsi="Calibri"/>
                <w:b/>
                <w:color w:val="1A1A1A"/>
                <w:sz w:val="44"/>
              </w:rPr>
              <w:t>Compras — da Requisição ao Pagamento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Código do documento: </w:t>
            </w:r>
            <w:r>
              <w:rPr>
                <w:rFonts w:ascii="Calibri" w:hAnsi="Calibri"/>
                <w:color w:val="1A1A1A"/>
                <w:sz w:val="22"/>
              </w:rPr>
              <w:t>POP-002</w:t>
            </w:r>
            <w:r>
              <w:rPr>
                <w:rFonts w:ascii="Calibri" w:hAnsi="Calibri"/>
                <w:color w:val="6B7280"/>
                <w:sz w:val="22"/>
              </w:rPr>
              <w:t xml:space="preserve">   ·   </w:t>
            </w:r>
            <w:r>
              <w:rPr>
                <w:rFonts w:ascii="Calibri" w:hAnsi="Calibri"/>
                <w:b/>
                <w:color w:val="6B7280"/>
                <w:sz w:val="22"/>
              </w:rPr>
              <w:t xml:space="preserve">Versão: </w:t>
            </w:r>
            <w:r>
              <w:rPr>
                <w:rFonts w:ascii="Calibri" w:hAnsi="Calibri"/>
                <w:color w:val="1A1A1A"/>
                <w:sz w:val="22"/>
              </w:rPr>
              <w:t>1.0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Data de emissão: </w:t>
            </w:r>
            <w:r>
              <w:rPr>
                <w:rFonts w:ascii="Calibri" w:hAnsi="Calibri"/>
                <w:color w:val="1A1A1A"/>
                <w:sz w:val="22"/>
              </w:rPr>
              <w:t>12 de junho de 2026</w:t>
            </w:r>
          </w:p>
          <w:p>
            <w:pPr>
              <w:spacing w:after="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Responsável pelo processo: </w:t>
            </w:r>
            <w:r>
              <w:rPr>
                <w:rFonts w:ascii="Calibri" w:hAnsi="Calibri"/>
                <w:color w:val="1A1A1A"/>
                <w:sz w:val="22"/>
              </w:rPr>
              <w:t>—</w:t>
            </w:r>
          </w:p>
        </w:tc>
      </w:tr>
    </w:tbl>
    <w:p>
      <w:pPr>
        <w:spacing w:after="2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022"/>
        <w:gridCol w:w="3022"/>
        <w:gridCol w:w="3027"/>
      </w:tblGrid>
      <w:tr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Elaboração</w:t>
            </w:r>
          </w:p>
        </w:tc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Revisão</w:t>
            </w:r>
          </w:p>
        </w:tc>
        <w:tc>
          <w:tcPr>
            <w:tcW w:type="dxa" w:w="302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Aprovação</w:t>
            </w:r>
          </w:p>
        </w:tc>
      </w:tr>
      <w:tr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12 de junho de 2026</w:t>
            </w:r>
          </w:p>
        </w:tc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  <w:tc>
          <w:tcPr>
            <w:tcW w:type="dxa" w:w="302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</w:tr>
    </w:tbl>
    <w:p>
      <w:pPr>
        <w:spacing w:after="120"/>
      </w:pPr>
    </w:p>
    <w:p>
      <w:pPr>
        <w:pStyle w:val="Heading1"/>
      </w:pPr>
      <w:r>
        <w:t>1. Objetivo</w:t>
      </w:r>
    </w:p>
    <w:p>
      <w:pPr>
        <w:spacing w:after="240"/>
      </w:pPr>
      <w:r>
        <w:t>Estabelecer o procedimento para aquisição de bens e serviços, desde a identificação da necessidade pela área solicitante até o pagamento ao fornecedor, incluindo a abertura e instrução da requisição, a coleta e análise de cotações, a verificação da alçada de aprovação, a submissão à Diretoria quando aplicável, a emissão do pedido de compra, o recebimento e conferência do material com a Nota Fiscal, e a programação e efetivação do pagamento. O processo se aplica a todas as aquisições realizadas pela organização, independentemente do valor, variando apenas a alçada de aprovação exigida.</w:t>
      </w:r>
    </w:p>
    <w:p>
      <w:pPr>
        <w:pStyle w:val="Heading1"/>
      </w:pPr>
      <w:r>
        <w:t>2. Responsabilidades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51"/>
        <w:gridCol w:w="6520"/>
      </w:tblGrid>
      <w:tr>
        <w:tc>
          <w:tcPr>
            <w:tcW w:type="dxa" w:w="255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Ator</w:t>
            </w:r>
          </w:p>
        </w:tc>
        <w:tc>
          <w:tcPr>
            <w:tcW w:type="dxa" w:w="6520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Responsabilidade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Solicitante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Identifica a necessidade de compra, abre a requisição com especificação técnica, quantidade e justificativa, e recebe o material entregue pelo fornecedor, conferindo-o contra o pedido de compra e a Nota Fiscal antes de encaminhar a documentação ao Financeiro.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Compras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 a requisição aprovada, conduz a cotação com no mínimo três fornecedores, consolida o comparativo, verifica enquadramento na alçada de aprovação e emite o pedido de compra ao fornecedor vencedor com as condições negociadas.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Diretoria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Analisa e delibera sobre requisições cujo valor ultrapasse a alçada de Compras, aprovando ou reprovando a aquisição com base no comparativo de cotações e na justificativa encaminhada.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Financeiro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 a Nota Fiscal conferida, lança o documento, programa o pagamento conforme as condições acordadas no pedido de compra e registra a quitação ao final do processo.</w:t>
            </w:r>
          </w:p>
        </w:tc>
      </w:tr>
    </w:tbl>
    <w:p>
      <w:pPr>
        <w:spacing w:after="240"/>
      </w:pPr>
    </w:p>
    <w:p>
      <w:pPr>
        <w:pStyle w:val="Heading1"/>
      </w:pPr>
      <w:r>
        <w:t>3. Etapas Detalhadas</w:t>
      </w:r>
    </w:p>
    <w:p>
      <w:pPr>
        <w:pStyle w:val="Heading2"/>
      </w:pPr>
      <w:r>
        <w:t>Etapa 1 — Abertura da Requisição de Compra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a requisição de compra com especificação técnica, quantidade e justificativa da necessidade.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especificação deve ser suficientemente detalhada para permitir cotação precisa por parte de Compras — incluir marca de referência, unidade de medida, normas técnicas aplicáveis ou demais atributos que definam o objeto com clareza. Requisições com campos incompletos ou justificativa genérica serão devolvidas por Compras, gerando retraso no atendimento.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Encaminhar a requisição à área de Compras para início do processo de cotação.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Confirmar o encaminhamento e guardar registro da data de envio. Caso haja prazo de necessidade definido (data limite para recebimento do material), informá-lo explicitamente na requisição para que Compras priorize adequadamente.</w:t>
            </w:r>
          </w:p>
        </w:tc>
      </w:tr>
    </w:tbl>
    <w:p>
      <w:pPr>
        <w:spacing w:after="160"/>
      </w:pPr>
    </w:p>
    <w:p>
      <w:pPr>
        <w:pStyle w:val="Heading2"/>
      </w:pPr>
      <w:r>
        <w:t>Etapa 2 — Cotação com Fornecedores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Contatar fornecedores e coletar no mínimo três cotações para o item ou serviço requisitado.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As propostas devem ser obtidas de fornecedores distintos e conter, no mínimo: descrição do item, preço unitário, condições de pagamento, prazo de entrega e validade da proposta. Cotações recebidas por e-mail ou formulário devem ser armazenadas junto ao processo para fins de rastreabilidade e eventual auditoria.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Consolidar as cotações em comparativo e selecionar a proposta mais vantajosa.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critério de seleção deve considerar não apenas o menor preço, mas também prazo de entrega, condições de pagamento e histórico do fornecedor quando disponível. Registrar o critério adotado no comparativo para embasar questionamentos posteriores e garantir transparência na decisão.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3 — Verificação de Alçada</w:t>
      </w:r>
    </w:p>
    <w:p>
      <w:pPr>
        <w:spacing w:after="120"/>
      </w:pPr>
      <w:r>
        <w:rPr>
          <w:b/>
          <w:color w:val="274E13"/>
        </w:rPr>
        <w:t xml:space="preserve">Decisão: </w:t>
      </w:r>
      <w:r>
        <w:rPr>
          <w:i/>
        </w:rPr>
        <w:t>Dentro da alçada de Compras?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402"/>
        <w:gridCol w:w="5669"/>
      </w:tblGrid>
      <w:tr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Resultado</w:t>
            </w:r>
          </w:p>
        </w:tc>
        <w:tc>
          <w:tcPr>
            <w:tcW w:type="dxa" w:w="5669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Próximo Passo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SIM</w:t>
            </w:r>
            <w:r>
              <w:rPr>
                <w:sz w:val="22"/>
              </w:rPr>
              <w:t xml:space="preserve"> — Dentro da alçada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6 — Emissão do Pedido de Compra, Passo 1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NÃO</w:t>
            </w:r>
            <w:r>
              <w:rPr>
                <w:sz w:val="22"/>
              </w:rPr>
              <w:t xml:space="preserve"> — Acima da alçada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4 — Submissão à Diretoria para Aprovação, Passo 1</w:t>
            </w:r>
          </w:p>
        </w:tc>
      </w:tr>
    </w:tbl>
    <w:p>
      <w:pPr>
        <w:spacing w:after="160"/>
      </w:pPr>
    </w:p>
    <w:p>
      <w:pPr>
        <w:pStyle w:val="Heading2"/>
      </w:pPr>
      <w:r>
        <w:t>Etapa 4 — Submissão à Diretoria para Aprovação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Encaminhar o comparativo de cotações e a requisição original à Diretoria para deliberação.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encaminhamento deve incluir: comparativo consolidado com destaque da proposta selecionada, requisição original com especificação e justificativa, e quaisquer documentos técnicos que embasem a escolha. Registrar a data de envio para controle do prazo de resposta.</w:t>
            </w:r>
          </w:p>
        </w:tc>
      </w:tr>
    </w:tbl>
    <w:p>
      <w:pPr>
        <w:spacing w:after="160"/>
      </w:pPr>
    </w:p>
    <w:p>
      <w:pPr>
        <w:pStyle w:val="Heading2"/>
      </w:pPr>
      <w:r>
        <w:t>Etapa 5 — Deliberação da Diretoria</w:t>
      </w:r>
    </w:p>
    <w:p>
      <w:pPr>
        <w:spacing w:after="120"/>
      </w:pPr>
      <w:r>
        <w:rPr>
          <w:b/>
          <w:color w:val="274E13"/>
        </w:rPr>
        <w:t xml:space="preserve">Decisão: </w:t>
      </w:r>
      <w:r>
        <w:rPr>
          <w:i/>
        </w:rPr>
        <w:t>Aprovado pela Diretoria?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402"/>
        <w:gridCol w:w="5669"/>
      </w:tblGrid>
      <w:tr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Resultado</w:t>
            </w:r>
          </w:p>
        </w:tc>
        <w:tc>
          <w:tcPr>
            <w:tcW w:type="dxa" w:w="5669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Próximo Passo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SIM</w:t>
            </w:r>
            <w:r>
              <w:rPr>
                <w:sz w:val="22"/>
              </w:rPr>
              <w:t xml:space="preserve"> — Aprovado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6 — Emissão do Pedido de Compra, Passo 1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NÃO</w:t>
            </w:r>
            <w:r>
              <w:rPr>
                <w:sz w:val="22"/>
              </w:rPr>
              <w:t xml:space="preserve"> — Reprovado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sz w:val="22"/>
              </w:rPr>
              <w:t>Encerrar o processo (Requisição cancelada)</w:t>
            </w:r>
          </w:p>
        </w:tc>
      </w:tr>
    </w:tbl>
    <w:p>
      <w:pPr>
        <w:spacing w:after="160"/>
      </w:pPr>
    </w:p>
    <w:p>
      <w:pPr>
        <w:pStyle w:val="Heading2"/>
      </w:pPr>
      <w:r>
        <w:t>Etapa 6 — Emissão do Pedido de Compra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Emitir o pedido de compra ao fornecedor vencedor, formalizando todas as condições negociadas.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pedido deve conter: identificação completa do fornecedor, descrição do item ou serviço, quantidade, preço unitário e total, condições de pagamento, prazo e local de entrega. Esta etapa é alcançada tanto por compras dentro da alçada (vindo da Etapa 3) quanto por compras aprovadas pela Diretoria (vindo da Etapa 5).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Arquivar cópia do pedido emitido e comunicar o Solicitante sobre a previsão de entrega.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cópia do pedido será utilizada na Etapa 7 para conferência do material recebido — sua ausência compromete a rastreabilidade. Informar ao Solicitante a data prevista de entrega para que esteja disponível para recebimento.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7 — Recebimento do Material e Conferência da Nota Fiscal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Conferir o material recebido contra o pedido de compra emitido.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Verificar: quantidade, especificação técnica, condição física do material e aderência ao prazo de entrega acordado. Em caso de divergência — item errado, quantidade inferior, avaria visível — acionar Compras imediatamente e NÃO assinar o recibo de entrega até que a situação seja regularizada com o fornecedor.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Conferir a Nota Fiscal contra o pedido de compra e o material efetivamente recebido.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Validar na NF: CNPJ do fornecedor, descrição dos itens, quantidades, valores unitários e totais, e condições de pagamento. Somente encaminhar a NF ao Financeiro após confirmação plena de conformidade. NF com divergência deve ser devolvida ao fornecedor para correção antes de qualquer encaminhamento.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8 — Programação e Efetivação do Pagamento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Lançar a Nota Fiscal e programar o pagamento conforme a condição acordada no pedido de compra.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Verificar a data de vencimento negociada no pedido antes de agendar o pagamento, evitando juros por atraso ou antecipação indevida. Conferir que o CNPJ ou CPF do fornecedor constante na NF corresponde ao cadastro do beneficiário do pagamento.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Efetuar o pagamento e registrar a quitação, vinculando o comprovante à Nota Fiscal e ao pedido de compra.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registro do comprovante de pagamento encerra o processo e garante rastreabilidade completa do ciclo de compra. Comunicar a conclusão do pagamento ao Solicitante e a Compras conforme o procedimento interno da unidade.</w:t>
            </w:r>
          </w:p>
        </w:tc>
      </w:tr>
    </w:tbl>
    <w:p>
      <w:pPr>
        <w:spacing w:after="160"/>
      </w:pPr>
    </w:p>
    <w:p>
      <w:pPr>
        <w:pStyle w:val="Heading1"/>
      </w:pPr>
      <w:r>
        <w:t>4. Pontos de Atenção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67"/>
        <w:gridCol w:w="8504"/>
      </w:tblGrid>
      <w:tr>
        <w:tc>
          <w:tcPr>
            <w:tcW w:type="dxa" w:w="56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8504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Ponto de Atenção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Este procedimento se aplica a TODAS as aquisições, independentemente do valor — a diferença entre os fluxos está exclusivamente na alçada de aprovação: compras dentro da alçada de Compras seguem diretamente à emissão do pedido, enquanto as demais exigem deliberação da Diretoria.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requisição SOMENTE deve ser encaminhada a Compras após preenchimento completo de especificação técnica, quantidade e justificativa — requisições incompletas devem ser devolvidas ao Solicitante antes do início da cotação, pois especificações vagas resultam em cotações incomparáveis e retrabalho.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mínimo de três cotações de fornecedores DISTINTOS é OBRIGATÓRIO — a ausência de qualquer proposta ou a duplicidade de fornecedor invalida o comparativo e impede a emissão do pedido de compra, independentemente do valor ou da urgência da aquisição.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Quando a Diretoria reprova a requisição, o processo é encerrado com cancelamento imediato — NÃO há ciclo de revisão ou retorno ao Solicitante previsto no fluxo. Eventual ajuste de especificação, valor ou justificativa exige a abertura de uma nova requisição desde o início.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Nota Fiscal SOMENTE deve ser encaminhada ao Financeiro após conferência completa pelo Solicitante — o envio de NF com divergência de valor, quantidade ou CNPJ pode resultar em pagamento incorreto e gerar dificuldades operacionais e fiscais para reversão da transação.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pagamento deve ser realizado ESTRITAMENTE conforme as condições acordadas no pedido de compra emitido — alterações nas condições de pagamento após a emissão do pedido (prazo, desconto, forma) exigem novo alinhamento formal com o fornecedor e atualização documental antes da quitação.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comprovante de pagamento deve ser obrigatoriamente vinculado à Nota Fiscal e ao pedido de compra correspondentes — a ausência desse vínculo documental impede a rastreabilidade do ciclo de compra e compromete eventuais processos de auditoria interna ou externa.</w:t>
            </w:r>
          </w:p>
        </w:tc>
      </w:tr>
    </w:tbl>
    <w:p>
      <w:pPr>
        <w:pStyle w:val="Heading1"/>
      </w:pPr>
      <w:r>
        <w:t>5. Controle de Revisões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247"/>
        <w:gridCol w:w="2041"/>
        <w:gridCol w:w="4082"/>
        <w:gridCol w:w="1701"/>
      </w:tblGrid>
      <w:tr>
        <w:tc>
          <w:tcPr>
            <w:tcW w:type="dxa" w:w="124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Versão</w:t>
            </w:r>
          </w:p>
        </w:tc>
        <w:tc>
          <w:tcPr>
            <w:tcW w:type="dxa" w:w="204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  <w:tc>
          <w:tcPr>
            <w:tcW w:type="dxa" w:w="408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Descrição da alteração</w:t>
            </w:r>
          </w:p>
        </w:tc>
        <w:tc>
          <w:tcPr>
            <w:tcW w:type="dxa" w:w="170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Responsável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sz w:val="22"/>
              </w:rPr>
              <w:t>1.0</w:t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12 de junho de 2026</w:t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Emissão inicial</w:t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—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2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728" w:right="1584" w:bottom="1440" w:left="1584" w:header="34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B7280"/>
        <w:sz w:val="18"/>
      </w:rPr>
      <w:t xml:space="preserve">Página </w:t>
    </w:r>
    <w:r>
      <w:rPr>
        <w:rFonts w:ascii="Calibri" w:hAnsi="Calibri"/>
        <w:color w:val="6B7280"/>
        <w:sz w:val="18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6B7280"/>
        <w:sz w:val="18"/>
      </w:rPr>
      <w:t xml:space="preserve"> de </w:t>
    </w:r>
    <w:r>
      <w:rPr>
        <w:rFonts w:ascii="Calibri" w:hAnsi="Calibri"/>
        <w:color w:val="6B7280"/>
        <w:sz w:val="18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6236"/>
      <w:gridCol w:w="2835"/>
    </w:tblGrid>
    <w:tr>
      <w:tc>
        <w:tcPr>
          <w:tcW w:type="dxa" w:w="4535"/>
          <w:vAlign w:val="bottom"/>
        </w:tcPr>
        <w:p>
          <w:pPr>
            <w:spacing w:after="0" w:before="0"/>
            <w:jc w:val="left"/>
          </w:pPr>
          <w:r/>
          <w:r>
            <w:rPr>
              <w:rFonts w:ascii="Calibri" w:hAnsi="Calibri"/>
              <w:color w:val="6B7280"/>
              <w:sz w:val="18"/>
            </w:rPr>
            <w:t>Compras — da Requisição ao Pagamento</w:t>
          </w:r>
        </w:p>
      </w:tc>
      <w:tc>
        <w:tcPr>
          <w:tcW w:type="dxa" w:w="4535"/>
          <w:vAlign w:val="bottom"/>
        </w:tcPr>
        <w:p>
          <w:pPr>
            <w:spacing w:after="0" w:before="0"/>
            <w:jc w:val="right"/>
          </w:pPr>
          <w:r/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  <w:jc w:val="both"/>
    </w:pPr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74E1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