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1D5DB"/>
          <w:left w:val="single" w:sz="6" w:color="D1D5DB"/>
          <w:bottom w:val="single" w:sz="6" w:color="D1D5DB"/>
          <w:right w:val="single" w:sz="6" w:color="D1D5DB"/>
          <w:insideH w:val="nil"/>
          <w:insideV w:val="nil"/>
        </w:tblBorders>
      </w:tblPr>
      <w:tblGrid>
        <w:gridCol w:w="9071"/>
      </w:tblGrid>
      <w:tr>
        <w:tc>
          <w:tcPr>
            <w:tcW w:type="dxa" w:w="9072"/>
            <w:tcMar>
              <w:top w:w="320" w:type="dxa"/>
              <w:left w:w="360" w:type="dxa"/>
              <w:bottom w:w="320" w:type="dxa"/>
              <w:right w:w="360" w:type="dxa"/>
            </w:tcMar>
          </w:tcPr>
          <w:p>
            <w:pPr>
              <w:spacing w:after="280" w:line="276" w:lineRule="auto"/>
              <w:jc w:val="left"/>
            </w:pPr>
            <w:r/>
            <w:r>
              <w:rPr>
                <w:rFonts w:ascii="Calibri" w:hAnsi="Calibri"/>
                <w:color w:val="6B7280"/>
                <w:sz w:val="32"/>
              </w:rPr>
              <w:t>Nome da Empresa/Instituição</w:t>
            </w:r>
          </w:p>
          <w:p>
            <w:pPr>
              <w:spacing w:after="120" w:line="276" w:lineRule="auto"/>
              <w:jc w:val="left"/>
            </w:pPr>
            <w:r>
              <w:rPr>
                <w:rFonts w:ascii="Calibri" w:hAnsi="Calibri"/>
                <w:b/>
                <w:color w:val="6B7280"/>
                <w:sz w:val="20"/>
                <w:spacing w:val="40"/>
              </w:rPr>
              <w:t>PROCEDIMENTO OPERACIONAL PADRÃO nº POP-001</w:t>
            </w:r>
          </w:p>
          <w:p>
            <w:pPr>
              <w:spacing w:after="360" w:line="276" w:lineRule="auto"/>
              <w:jc w:val="left"/>
            </w:pPr>
            <w:r>
              <w:rPr>
                <w:rFonts w:ascii="Calibri" w:hAnsi="Calibri"/>
                <w:b/>
                <w:color w:val="1A1A1A"/>
                <w:sz w:val="44"/>
              </w:rPr>
              <w:t xml:space="preserve">Processo: </w:t>
            </w:r>
            <w:r>
              <w:rPr>
                <w:rFonts w:ascii="Calibri" w:hAnsi="Calibri"/>
                <w:b/>
                <w:color w:val="1A1A1A"/>
                <w:sz w:val="44"/>
              </w:rPr>
              <w:t>Onboarding de Cliente</w:t>
            </w:r>
          </w:p>
          <w:p>
            <w:pPr>
              <w:spacing w:after="80" w:line="276" w:lineRule="auto"/>
              <w:jc w:val="left"/>
            </w:pPr>
            <w:r>
              <w:rPr>
                <w:rFonts w:ascii="Calibri" w:hAnsi="Calibri"/>
                <w:b/>
                <w:color w:val="6B7280"/>
                <w:sz w:val="22"/>
              </w:rPr>
              <w:t xml:space="preserve">Código do documento: </w:t>
            </w:r>
            <w:r>
              <w:rPr>
                <w:rFonts w:ascii="Calibri" w:hAnsi="Calibri"/>
                <w:color w:val="1A1A1A"/>
                <w:sz w:val="22"/>
              </w:rPr>
              <w:t>POP-001</w:t>
            </w:r>
            <w:r>
              <w:rPr>
                <w:rFonts w:ascii="Calibri" w:hAnsi="Calibri"/>
                <w:color w:val="6B7280"/>
                <w:sz w:val="22"/>
              </w:rPr>
              <w:t xml:space="preserve">   ·   </w:t>
            </w:r>
            <w:r>
              <w:rPr>
                <w:rFonts w:ascii="Calibri" w:hAnsi="Calibri"/>
                <w:b/>
                <w:color w:val="6B7280"/>
                <w:sz w:val="22"/>
              </w:rPr>
              <w:t xml:space="preserve">Versão: </w:t>
            </w:r>
            <w:r>
              <w:rPr>
                <w:rFonts w:ascii="Calibri" w:hAnsi="Calibri"/>
                <w:color w:val="1A1A1A"/>
                <w:sz w:val="22"/>
              </w:rPr>
              <w:t>1.0</w:t>
            </w:r>
          </w:p>
          <w:p>
            <w:pPr>
              <w:spacing w:after="80" w:line="276" w:lineRule="auto"/>
              <w:jc w:val="left"/>
            </w:pPr>
            <w:r>
              <w:rPr>
                <w:rFonts w:ascii="Calibri" w:hAnsi="Calibri"/>
                <w:b/>
                <w:color w:val="6B7280"/>
                <w:sz w:val="22"/>
              </w:rPr>
              <w:t xml:space="preserve">Data de emissão: </w:t>
            </w:r>
            <w:r>
              <w:rPr>
                <w:rFonts w:ascii="Calibri" w:hAnsi="Calibri"/>
                <w:color w:val="1A1A1A"/>
                <w:sz w:val="22"/>
              </w:rPr>
              <w:t>12 de junho de 2026</w:t>
            </w:r>
          </w:p>
          <w:p>
            <w:pPr>
              <w:spacing w:after="0" w:line="276" w:lineRule="auto"/>
              <w:jc w:val="left"/>
            </w:pPr>
            <w:r>
              <w:rPr>
                <w:rFonts w:ascii="Calibri" w:hAnsi="Calibri"/>
                <w:b/>
                <w:color w:val="6B7280"/>
                <w:sz w:val="22"/>
              </w:rPr>
              <w:t xml:space="preserve">Responsável pelo processo: </w:t>
            </w:r>
            <w:r>
              <w:rPr>
                <w:rFonts w:ascii="Calibri" w:hAnsi="Calibri"/>
                <w:color w:val="1A1A1A"/>
                <w:sz w:val="22"/>
              </w:rPr>
              <w:t>—</w:t>
            </w:r>
          </w:p>
        </w:tc>
      </w:tr>
    </w:tbl>
    <w:p>
      <w:pPr>
        <w:spacing w:after="20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022"/>
        <w:gridCol w:w="3022"/>
        <w:gridCol w:w="3027"/>
      </w:tblGrid>
      <w:tr>
        <w:tc>
          <w:tcPr>
            <w:tcW w:type="dxa" w:w="302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Elaboração</w:t>
            </w:r>
          </w:p>
        </w:tc>
        <w:tc>
          <w:tcPr>
            <w:tcW w:type="dxa" w:w="302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Revisão</w:t>
            </w:r>
          </w:p>
        </w:tc>
        <w:tc>
          <w:tcPr>
            <w:tcW w:type="dxa" w:w="302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Aprovação</w:t>
            </w:r>
          </w:p>
        </w:tc>
      </w:tr>
      <w:tr>
        <w:tc>
          <w:tcPr>
            <w:tcW w:type="dxa" w:w="302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________________</w:t>
              <w:br/>
              <w:t>Data: 12 de junho de 2026</w:t>
            </w:r>
          </w:p>
        </w:tc>
        <w:tc>
          <w:tcPr>
            <w:tcW w:type="dxa" w:w="302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________________</w:t>
              <w:br/>
              <w:t>Data: ____/____/______</w:t>
            </w:r>
          </w:p>
        </w:tc>
        <w:tc>
          <w:tcPr>
            <w:tcW w:type="dxa" w:w="302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________________</w:t>
              <w:br/>
              <w:t>Data: ____/____/______</w:t>
            </w:r>
          </w:p>
        </w:tc>
      </w:tr>
    </w:tbl>
    <w:p>
      <w:pPr>
        <w:spacing w:after="120"/>
      </w:pPr>
    </w:p>
    <w:p>
      <w:pPr>
        <w:pStyle w:val="Heading1"/>
      </w:pPr>
      <w:r>
        <w:t>1. Objetivo</w:t>
      </w:r>
    </w:p>
    <w:p>
      <w:pPr>
        <w:spacing w:after="240"/>
      </w:pPr>
      <w:r>
        <w:t>Estabelecer o procedimento para a implantação, treinamento e ativação de novos clientes, desde a assinatura do contrato até o cliente operando de forma independente, incluindo o registro e repasse formal da venda ao time de Customer Success, a realização da reunião de kickoff, a coleta de dados e acessos, a configuração do ambiente e o treinamento dos usuários-chave, a avaliação de aptidão e, quando necessário, o reforço de treinamento, culminando na formalização do go-live e no início do acompanhamento pós-ativação.</w:t>
      </w:r>
    </w:p>
    <w:p>
      <w:pPr>
        <w:pStyle w:val="Heading1"/>
      </w:pPr>
      <w:r>
        <w:t>2. Responsabilidades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551"/>
        <w:gridCol w:w="6520"/>
      </w:tblGrid>
      <w:tr>
        <w:tc>
          <w:tcPr>
            <w:tcW w:type="dxa" w:w="2551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Ator</w:t>
            </w:r>
          </w:p>
        </w:tc>
        <w:tc>
          <w:tcPr>
            <w:tcW w:type="dxa" w:w="6520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Responsabilidade</w:t>
            </w:r>
          </w:p>
        </w:tc>
      </w:tr>
      <w:tr>
        <w:tc>
          <w:tcPr>
            <w:tcW w:type="dxa" w:w="255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sz w:val="22"/>
              </w:rPr>
              <w:t>Comercial</w:t>
            </w:r>
          </w:p>
        </w:tc>
        <w:tc>
          <w:tcPr>
            <w:tcW w:type="dxa" w:w="6520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Registra a venda no CRM ao término da negociação, abre o projeto de onboarding com o contexto completo da negociação (perfil do cliente, expectativas e particularidades acordadas) e realiza o repasse formal ao Customer Success, encerrando sua participação ativa no processo após essa transferência.</w:t>
            </w:r>
          </w:p>
        </w:tc>
      </w:tr>
      <w:tr>
        <w:tc>
          <w:tcPr>
            <w:tcW w:type="dxa" w:w="255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sz w:val="22"/>
              </w:rPr>
              <w:t>Customer Success</w:t>
            </w:r>
          </w:p>
        </w:tc>
        <w:tc>
          <w:tcPr>
            <w:tcW w:type="dxa" w:w="6520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Conduz todas as etapas operacionais do onboarding: agenda e realiza a reunião de kickoff com o cliente, acompanha o envio de dados e acessos, configura o ambiente com as informações recebidas, treina os usuários-chave, avalia a aptidão do cliente ao final do treinamento, agenda sessões de reforço quando necessário e formaliza o go-live registrando a data de ativação e iniciando o acompanhamento pós-ativação.</w:t>
            </w:r>
          </w:p>
        </w:tc>
      </w:tr>
      <w:tr>
        <w:tc>
          <w:tcPr>
            <w:tcW w:type="dxa" w:w="255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sz w:val="22"/>
              </w:rPr>
              <w:t>Cliente</w:t>
            </w:r>
          </w:p>
        </w:tc>
        <w:tc>
          <w:tcPr>
            <w:tcW w:type="dxa" w:w="6520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Fornece os cadastros, integrações e acessos necessários para a configuração do ambiente, participa da reunião de kickoff e das sessões de treinamento, e valida a prontidão operacional ao longo do processo.</w:t>
            </w:r>
          </w:p>
        </w:tc>
      </w:tr>
    </w:tbl>
    <w:p>
      <w:pPr>
        <w:spacing w:after="240"/>
      </w:pPr>
    </w:p>
    <w:p>
      <w:pPr>
        <w:pStyle w:val="Heading1"/>
      </w:pPr>
      <w:r>
        <w:t>3. Etapas Detalhadas</w:t>
      </w:r>
    </w:p>
    <w:p>
      <w:pPr>
        <w:pStyle w:val="Heading2"/>
      </w:pPr>
      <w:r>
        <w:t>Etapa 1 — Registro da Venda e Repasse ao Onboarding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907"/>
        <w:gridCol w:w="3402"/>
        <w:gridCol w:w="4762"/>
      </w:tblGrid>
      <w:tr>
        <w:tc>
          <w:tcPr>
            <w:tcW w:type="dxa" w:w="90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Passo</w:t>
            </w:r>
          </w:p>
        </w:tc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Ação</w:t>
            </w:r>
          </w:p>
        </w:tc>
        <w:tc>
          <w:tcPr>
            <w:tcW w:type="dxa" w:w="476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Observação / Detalhe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Registrar a venda no CRM com os dados completos da negociação.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Incluir no registro: perfil do cliente, produtos ou planos contratados, particularidades acordadas durante a negociação e quaisquer compromissos assumidos pelo Comercial. Informações incompletas nesta etapa comprometem o alinhamento no kickoff e podem gerar expectativas divergentes com o cliente.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Abrir o projeto de onboarding na ferramenta de gestão adotada pela unidade.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projeto deve ser criado imediatamente após o registro da venda, sem aguardar confirmação do Customer Success. Vincular o projeto ao registro do CRM para garantir rastreabilidade entre a negociação e a implantação.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3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Repassar formalmente o cliente ao Customer Success com o contexto da negociação.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repasse deve ocorrer por canal oficial definido pela unidade (e-mail, ferramenta de gestão ou reunião de handoff) e incluir: resumo da negociação, expectativas do cliente e prazo de ativação esperado. Concluído o repasse, o Comercial encerra sua participação ativa no processo.</w:t>
            </w:r>
          </w:p>
        </w:tc>
      </w:tr>
    </w:tbl>
    <w:p>
      <w:pPr>
        <w:spacing w:after="160"/>
      </w:pPr>
    </w:p>
    <w:p>
      <w:pPr>
        <w:pStyle w:val="Heading2"/>
      </w:pPr>
      <w:r>
        <w:t>Etapa 2 — Reunião de Kickoff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907"/>
        <w:gridCol w:w="3402"/>
        <w:gridCol w:w="4762"/>
      </w:tblGrid>
      <w:tr>
        <w:tc>
          <w:tcPr>
            <w:tcW w:type="dxa" w:w="90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Passo</w:t>
            </w:r>
          </w:p>
        </w:tc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Ação</w:t>
            </w:r>
          </w:p>
        </w:tc>
        <w:tc>
          <w:tcPr>
            <w:tcW w:type="dxa" w:w="476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Observação / Detalhe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Agendar a reunião de kickoff com o cliente no prazo estabelecido pela unidade após o recebimento do repasse.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Priorizar o agendamento logo após o recebimento do repasse do Comercial. Confirmar participação dos principais interlocutores do cliente — preferencialmente o responsável pelo projeto e os futuros usuários-chave — para evitar retrabalho de realinhamento posterior.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Conduzir a reunião de kickoff apresentando cronograma, responsáveis e próximos passos.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Cobrir obrigatoriamente: cronograma de implantação com datas-marco, responsabilidades de cada parte (Customer Success e Cliente), lista de dados e acessos que o cliente deverá fornecer e canais de comunicação durante o onboarding. Alinhar expectativas de prazo de ativação com base no contrato.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3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Registrar a ata ou resumo da reunião e encaminhar ao cliente.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registro deve conter as decisões tomadas, os compromissos assumidos por cada parte e a data acordada para envio dos dados e acessos. O envio ao cliente formaliza o alinhamento e serve como referência em caso de divergências futuras.</w:t>
            </w:r>
          </w:p>
        </w:tc>
      </w:tr>
    </w:tbl>
    <w:p>
      <w:pPr>
        <w:spacing w:after="160"/>
      </w:pPr>
    </w:p>
    <w:p>
      <w:pPr>
        <w:pStyle w:val="Heading2"/>
      </w:pPr>
      <w:r>
        <w:t>Etapa 3 — Envio de Dados e Acessos pelo Cliente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907"/>
        <w:gridCol w:w="3402"/>
        <w:gridCol w:w="4762"/>
      </w:tblGrid>
      <w:tr>
        <w:tc>
          <w:tcPr>
            <w:tcW w:type="dxa" w:w="90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Passo</w:t>
            </w:r>
          </w:p>
        </w:tc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Ação</w:t>
            </w:r>
          </w:p>
        </w:tc>
        <w:tc>
          <w:tcPr>
            <w:tcW w:type="dxa" w:w="476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Observação / Detalhe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Enviar ao Customer Success todos os cadastros, credenciais de integração e acessos necessários para a configuração do ambiente.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 relação exata dos itens a fornecer deve ter sido comunicada na reunião de kickoff e confirmada na ata. O envio parcial suspende o início da configuração — o Customer Success deve notificar o cliente sobre pendências e registrar a data de notificação para controle de prazo.</w:t>
            </w:r>
          </w:p>
        </w:tc>
      </w:tr>
    </w:tbl>
    <w:p>
      <w:pPr>
        <w:spacing w:after="160"/>
      </w:pPr>
    </w:p>
    <w:p>
      <w:pPr>
        <w:pStyle w:val="Heading2"/>
      </w:pPr>
      <w:r>
        <w:t>Etapa 4 — Configuração de Ambiente e Treinamento dos Usuários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907"/>
        <w:gridCol w:w="3402"/>
        <w:gridCol w:w="4762"/>
      </w:tblGrid>
      <w:tr>
        <w:tc>
          <w:tcPr>
            <w:tcW w:type="dxa" w:w="90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Passo</w:t>
            </w:r>
          </w:p>
        </w:tc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Ação</w:t>
            </w:r>
          </w:p>
        </w:tc>
        <w:tc>
          <w:tcPr>
            <w:tcW w:type="dxa" w:w="476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Observação / Detalhe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Verificar a completude e a integridade dos dados e acessos recebidos antes de iniciar a configuração.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Conferir se todos os itens previstos na lista do kickoff foram recebidos e se as credenciais estão operacionais. Iniciar a configuração com dados incompletos gera retrabalho — em caso de pendência, solicitar complementação ao cliente antes de prosseguir.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Configurar o ambiente com os dados e parâmetros do cliente.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Seguir o roteiro de configuração padrão da unidade, adaptando os parâmetros às particularidades acordadas durante a negociação e registradas no CRM. Documentar as configurações aplicadas para subsidiar suporte futuro.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3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Conduzir o treinamento dos usuários-chave do cliente.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treinamento deve cobrir os fluxos e funcionalidades que os usuários utilizarão no dia a dia. Priorizar a participação dos usuários que atuarão como multiplicadores internos no cliente. Registrar a presença dos participantes.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4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Avaliar a aptidão dos usuários ao final do treinamento e registrar o resultado.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 avaliação pode ser realizada por meio de exercício prático, checklist de competências ou declaração dos próprios usuários, conforme metodologia adotada pela unidade. O resultado — apto ou necessita reforço — deve ser registrado antes de prosseguir ao gateway de decisão.</w:t>
            </w:r>
          </w:p>
        </w:tc>
      </w:tr>
    </w:tbl>
    <w:p>
      <w:pPr>
        <w:spacing w:after="160"/>
      </w:pPr>
    </w:p>
    <w:p>
      <w:pPr>
        <w:pStyle w:val="Heading2"/>
      </w:pPr>
      <w:r>
        <w:t>Etapa 4 — Avaliação de Aptidão do Cliente</w:t>
      </w:r>
    </w:p>
    <w:p>
      <w:pPr>
        <w:spacing w:after="120"/>
      </w:pPr>
      <w:r>
        <w:rPr>
          <w:b/>
          <w:color w:val="274E13"/>
        </w:rPr>
        <w:t xml:space="preserve">Decisão: </w:t>
      </w:r>
      <w:r>
        <w:rPr>
          <w:i/>
        </w:rPr>
        <w:t>Cliente apto a operar de forma independente?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402"/>
        <w:gridCol w:w="5669"/>
      </w:tblGrid>
      <w:tr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Resultado</w:t>
            </w:r>
          </w:p>
        </w:tc>
        <w:tc>
          <w:tcPr>
            <w:tcW w:type="dxa" w:w="5669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Próximo Passo</w:t>
            </w:r>
          </w:p>
        </w:tc>
      </w:tr>
      <w:tr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40" w:after="40"/>
            </w:pPr>
            <w:r/>
            <w:r>
              <w:rPr>
                <w:b/>
                <w:color w:val="274E13"/>
                <w:sz w:val="22"/>
              </w:rPr>
              <w:t>SIM</w:t>
            </w:r>
            <w:r>
              <w:rPr>
                <w:sz w:val="22"/>
              </w:rPr>
              <w:t xml:space="preserve"> — Usuários demonstraram domínio suficiente dos fluxos principais.</w:t>
            </w:r>
          </w:p>
        </w:tc>
        <w:tc>
          <w:tcPr>
            <w:tcW w:type="dxa" w:w="5669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40" w:after="40"/>
            </w:pPr>
            <w:r/>
            <w:r>
              <w:rPr>
                <w:sz w:val="22"/>
              </w:rPr>
              <w:t>Prosseguir para Etapa 5 — Formalização do Go-Live, Passo 1.</w:t>
            </w:r>
          </w:p>
        </w:tc>
      </w:tr>
      <w:tr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40" w:after="40"/>
            </w:pPr>
            <w:r/>
            <w:r>
              <w:rPr>
                <w:b/>
                <w:color w:val="274E13"/>
                <w:sz w:val="22"/>
              </w:rPr>
              <w:t>NÃO</w:t>
            </w:r>
            <w:r>
              <w:rPr>
                <w:sz w:val="22"/>
              </w:rPr>
              <w:t xml:space="preserve"> — Identificadas lacunas que exigem sessão adicional de treinamento.</w:t>
            </w:r>
          </w:p>
        </w:tc>
        <w:tc>
          <w:tcPr>
            <w:tcW w:type="dxa" w:w="5669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40" w:after="40"/>
            </w:pPr>
            <w:r/>
            <w:r>
              <w:rPr>
                <w:sz w:val="22"/>
              </w:rPr>
              <w:t>Prosseguir para Etapa 4B — Reforço de Treinamento, Passo 1.</w:t>
            </w:r>
          </w:p>
        </w:tc>
      </w:tr>
    </w:tbl>
    <w:p>
      <w:pPr>
        <w:spacing w:after="160"/>
      </w:pPr>
    </w:p>
    <w:p>
      <w:pPr>
        <w:pStyle w:val="Heading2"/>
      </w:pPr>
      <w:r>
        <w:t>Etapa 4B — Reforço de Treinamento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907"/>
        <w:gridCol w:w="3402"/>
        <w:gridCol w:w="4762"/>
      </w:tblGrid>
      <w:tr>
        <w:tc>
          <w:tcPr>
            <w:tcW w:type="dxa" w:w="90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Passo</w:t>
            </w:r>
          </w:p>
        </w:tc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Ação</w:t>
            </w:r>
          </w:p>
        </w:tc>
        <w:tc>
          <w:tcPr>
            <w:tcW w:type="dxa" w:w="476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Observação / Detalhe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Identificar e documentar as lacunas de conhecimento observadas durante a avaliação.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Registrar especificamente quais funcionalidades ou fluxos não foram dominados e por quais usuários. Esse registro orienta o conteúdo da sessão de reforço e evita repetição de conteúdo já absorvido.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Agendar e conduzir a sessão de reforço focada exclusivamente nas dúvidas e lacunas identificadas.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 sessão de reforço não deve ser uma repetição integral do treinamento anterior — concentrar o conteúdo nos pontos de falha documentados no Passo 1. Ao término, realizar nova avaliação de aptidão e retornar ao gateway de decisão.</w:t>
            </w:r>
          </w:p>
        </w:tc>
      </w:tr>
    </w:tbl>
    <w:p>
      <w:pPr>
        <w:spacing w:after="160"/>
      </w:pPr>
    </w:p>
    <w:p>
      <w:pPr>
        <w:pStyle w:val="Heading2"/>
      </w:pPr>
      <w:r>
        <w:t>Etapa 5 — Formalização do Go-Live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907"/>
        <w:gridCol w:w="3402"/>
        <w:gridCol w:w="4762"/>
      </w:tblGrid>
      <w:tr>
        <w:tc>
          <w:tcPr>
            <w:tcW w:type="dxa" w:w="90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Passo</w:t>
            </w:r>
          </w:p>
        </w:tc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Ação</w:t>
            </w:r>
          </w:p>
        </w:tc>
        <w:tc>
          <w:tcPr>
            <w:tcW w:type="dxa" w:w="476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Observação / Detalhe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Confirmar a ativação do cliente e registrar formalmente a data de go-live.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registro deve ser efetuado no CRM ou na ferramenta de gestão de projetos adotada pela unidade, vinculado ao projeto de onboarding. A data de go-live é a referência para métricas de prazo de implantação e para o início do período de acompanhamento pós-ativação — o registro incorreto ou omitido compromete relatórios e SLAs.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Comunicar ao cliente a confirmação do go-live e as instruções para o período inicial de operação independente.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 comunicação deve conter: confirmação de que o ambiente está ativo, canais de suporte disponíveis durante o período de acompanhamento e, se aplicável, a agenda dos primeiros check-ins pós-ativação. Registrar o envio como evidência formal da ativação.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3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Iniciar o acompanhamento pós-ativação conforme o procedimento de Customer Success da unidade.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Esta ação encerra o processo de onboarding e transfere o cliente para a rotina de acompanhamento contínuo. Registrar a transição no CRM para garantir continuidade sem lacunas de atenção ao cliente recém-ativado.</w:t>
            </w:r>
          </w:p>
        </w:tc>
      </w:tr>
    </w:tbl>
    <w:p>
      <w:pPr>
        <w:spacing w:after="160"/>
      </w:pPr>
    </w:p>
    <w:p>
      <w:pPr>
        <w:pStyle w:val="Heading1"/>
      </w:pPr>
      <w:r>
        <w:t>4. Pontos de Atenção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67"/>
        <w:gridCol w:w="8504"/>
      </w:tblGrid>
      <w:tr>
        <w:tc>
          <w:tcPr>
            <w:tcW w:type="dxa" w:w="56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</w:r>
          </w:p>
        </w:tc>
        <w:tc>
          <w:tcPr>
            <w:tcW w:type="dxa" w:w="8504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Ponto de Atenção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processo de onboarding SOMENTE deve ser iniciado após a assinatura formal do contrato pelo cliente — não iniciar qualquer etapa de implantação com base em negociações verbais, propostas em aberto ou intenções de compra não formalizadas.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repasse do Comercial ao Customer Success deve incluir OBRIGATORIAMENTE o contexto completo da negociação (perfil do cliente, expectativas, particularidades acordadas e prazo de ativação esperado) — a ausência dessas informações compromete o alinhamento no kickoff e pode gerar promessas inconsistentes ao cliente.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 configuração do ambiente SOMENTE deve ser iniciada após o recebimento integral dos dados e acessos solicitados ao cliente — iniciar com itens pendentes gera retrabalho de reconfiguração e pode introduzir inconsistências no ambiente implantado.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resultado da avaliação de aptidão ao final de cada sessão de treinamento deve ser SEMPRE documentado, independentemente do resultado — a ausência de registro impede o rastreamento de ciclos de reforço realizados e pode gerar disputas quanto ao prazo de ativação e ao cumprimento do SLA de onboarding.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fluxo de reforço de treinamento (Etapa 4B) não possui limite explícito de ciclos — a unidade deve definir o número máximo de sessões de reforço permitidas antes de escalar o caso para análise gerencial, evitando que o processo fique em loop indefinido sem resolução formal.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Comercial não participa das etapas de configuração, treinamento e ativação — qualquer demanda ou solicitação do cliente nessa fase deve ser direcionada EXCLUSIVAMENTE ao Customer Success, evitando comunicações paralelas que gerem inconsistências de informação ou compromissos não rastreados.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 data de go-live registrada no Passo 1 da Etapa 5 é referência formal para métricas de prazo de implantação, cálculo de SLA e início do período de acompanhamento pós-ativação — o registro incorreto ou omitido invalida relatórios de desempenho e pode afetar o faturamento vinculado à ativação.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 sessão de reforço de treinamento (Etapa 4B) deve ser focada nas lacunas documentadas — NÃO repetir o treinamento completo, pois isso prolonga desnecessariamente o onboarding e pode frustrar o cliente sem agregar valor ao aprendizado já consolidado.</w:t>
            </w:r>
          </w:p>
        </w:tc>
      </w:tr>
    </w:tbl>
    <w:p>
      <w:pPr>
        <w:pStyle w:val="Heading1"/>
      </w:pPr>
      <w:r>
        <w:t>5. Controle de Revisões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1247"/>
        <w:gridCol w:w="2041"/>
        <w:gridCol w:w="4082"/>
        <w:gridCol w:w="1701"/>
      </w:tblGrid>
      <w:tr>
        <w:tc>
          <w:tcPr>
            <w:tcW w:type="dxa" w:w="124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Versão</w:t>
            </w:r>
          </w:p>
        </w:tc>
        <w:tc>
          <w:tcPr>
            <w:tcW w:type="dxa" w:w="2041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Data</w:t>
            </w:r>
          </w:p>
        </w:tc>
        <w:tc>
          <w:tcPr>
            <w:tcW w:type="dxa" w:w="408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Descrição da alteração</w:t>
            </w:r>
          </w:p>
        </w:tc>
        <w:tc>
          <w:tcPr>
            <w:tcW w:type="dxa" w:w="1701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Responsável</w:t>
            </w:r>
          </w:p>
        </w:tc>
      </w:tr>
      <w:tr>
        <w:tc>
          <w:tcPr>
            <w:tcW w:type="dxa" w:w="124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sz w:val="22"/>
              </w:rPr>
              <w:t>1.0</w:t>
            </w:r>
          </w:p>
        </w:tc>
        <w:tc>
          <w:tcPr>
            <w:tcW w:type="dxa" w:w="204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12 de junho de 2026</w:t>
            </w:r>
          </w:p>
        </w:tc>
        <w:tc>
          <w:tcPr>
            <w:tcW w:type="dxa" w:w="408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Emissão inicial</w:t>
            </w:r>
          </w:p>
        </w:tc>
        <w:tc>
          <w:tcPr>
            <w:tcW w:type="dxa" w:w="170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—</w:t>
            </w:r>
          </w:p>
        </w:tc>
      </w:tr>
      <w:tr>
        <w:tc>
          <w:tcPr>
            <w:tcW w:type="dxa" w:w="124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204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408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</w:tr>
      <w:tr>
        <w:tc>
          <w:tcPr>
            <w:tcW w:type="dxa" w:w="124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204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408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</w:tr>
    </w:tbl>
    <w:p>
      <w:pPr>
        <w:spacing w:after="240"/>
      </w:pPr>
    </w:p>
    <w:sectPr w:rsidR="00FC693F" w:rsidRPr="0006063C" w:rsidSect="00034616">
      <w:headerReference w:type="default" r:id="rId9"/>
      <w:footerReference w:type="default" r:id="rId10"/>
      <w:pgSz w:w="12240" w:h="15840"/>
      <w:pgMar w:top="1728" w:right="1584" w:bottom="1440" w:left="1584" w:header="34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Calibri" w:hAnsi="Calibri"/>
        <w:color w:val="6B7280"/>
        <w:sz w:val="18"/>
      </w:rPr>
      <w:t xml:space="preserve">Página </w:t>
    </w:r>
    <w:r>
      <w:rPr>
        <w:rFonts w:ascii="Calibri" w:hAnsi="Calibri"/>
        <w:color w:val="6B7280"/>
        <w:sz w:val="18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Calibri" w:hAnsi="Calibri"/>
        <w:color w:val="6B7280"/>
        <w:sz w:val="18"/>
      </w:rPr>
      <w:t xml:space="preserve"> de </w:t>
    </w:r>
    <w:r>
      <w:rPr>
        <w:rFonts w:ascii="Calibri" w:hAnsi="Calibri"/>
        <w:color w:val="6B7280"/>
        <w:sz w:val="18"/>
      </w:rPr>
      <w:fldChar w:fldCharType="begin"/>
      <w:instrText xml:space="preserve"> NUMPAGES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6236"/>
      <w:gridCol w:w="2835"/>
    </w:tblGrid>
    <w:tr>
      <w:tc>
        <w:tcPr>
          <w:tcW w:type="dxa" w:w="4535"/>
          <w:vAlign w:val="bottom"/>
        </w:tcPr>
        <w:p>
          <w:pPr>
            <w:spacing w:after="0" w:before="0"/>
            <w:jc w:val="left"/>
          </w:pPr>
          <w:r/>
          <w:r>
            <w:rPr>
              <w:rFonts w:ascii="Calibri" w:hAnsi="Calibri"/>
              <w:color w:val="6B7280"/>
              <w:sz w:val="18"/>
            </w:rPr>
            <w:t>Onboarding de Cliente</w:t>
          </w:r>
        </w:p>
      </w:tc>
      <w:tc>
        <w:tcPr>
          <w:tcW w:type="dxa" w:w="4535"/>
          <w:vAlign w:val="bottom"/>
        </w:tcPr>
        <w:p>
          <w:pPr>
            <w:spacing w:after="0" w:before="0"/>
            <w:jc w:val="right"/>
          </w:pPr>
          <w:r/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  <w:jc w:val="both"/>
    </w:pPr>
    <w:rPr>
      <w:rFonts w:ascii="Calibri" w:hAnsi="Calibri"/>
      <w:color w:val="1A1A1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274E13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